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5C7D" w:rsidRPr="00252769" w:rsidRDefault="00005C7D" w:rsidP="00005C7D">
      <w:pPr>
        <w:widowControl w:val="0"/>
        <w:tabs>
          <w:tab w:val="center" w:pos="4536"/>
          <w:tab w:val="right" w:pos="7938"/>
          <w:tab w:val="right" w:pos="9639"/>
        </w:tabs>
        <w:ind w:right="-58"/>
        <w:rPr>
          <w:rFonts w:eastAsia="MS Mincho"/>
          <w:b/>
          <w:bCs/>
          <w:noProof/>
          <w:sz w:val="28"/>
          <w:szCs w:val="28"/>
        </w:rPr>
      </w:pPr>
      <w:r w:rsidRPr="00252769">
        <w:rPr>
          <w:rFonts w:eastAsia="MS Mincho"/>
          <w:b/>
          <w:bCs/>
          <w:noProof/>
          <w:sz w:val="28"/>
          <w:szCs w:val="28"/>
        </w:rPr>
        <w:t>3GPP TSG RAN WG1 Meeting</w:t>
      </w:r>
      <w:r w:rsidR="00A4575C" w:rsidRPr="00252769">
        <w:rPr>
          <w:rFonts w:eastAsia="MS Mincho"/>
          <w:b/>
          <w:bCs/>
          <w:noProof/>
          <w:sz w:val="28"/>
          <w:szCs w:val="28"/>
        </w:rPr>
        <w:t xml:space="preserve"> RAN1 #97       </w:t>
      </w:r>
      <w:r w:rsidRPr="00252769">
        <w:rPr>
          <w:rFonts w:eastAsia="MS Mincho"/>
          <w:b/>
          <w:bCs/>
          <w:noProof/>
          <w:sz w:val="28"/>
          <w:szCs w:val="28"/>
        </w:rPr>
        <w:t xml:space="preserve">                                                     R1-</w:t>
      </w:r>
      <w:r w:rsidR="004D581C" w:rsidRPr="00252769">
        <w:rPr>
          <w:rFonts w:eastAsia="MS Mincho"/>
          <w:b/>
          <w:bCs/>
          <w:noProof/>
          <w:sz w:val="28"/>
          <w:szCs w:val="28"/>
        </w:rPr>
        <w:t>1906552</w:t>
      </w:r>
    </w:p>
    <w:p w:rsidR="00005C7D" w:rsidRPr="00252769" w:rsidRDefault="00353EB2"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Reno</w:t>
      </w:r>
      <w:r w:rsidR="00005C7D" w:rsidRPr="00252769">
        <w:rPr>
          <w:rFonts w:eastAsia="MS Mincho"/>
          <w:b/>
          <w:bCs/>
          <w:noProof/>
          <w:sz w:val="28"/>
          <w:szCs w:val="28"/>
          <w:lang w:eastAsia="en-US"/>
        </w:rPr>
        <w:t xml:space="preserve">, </w:t>
      </w:r>
      <w:r w:rsidR="0084028F">
        <w:rPr>
          <w:rFonts w:eastAsia="MS Mincho"/>
          <w:b/>
          <w:bCs/>
          <w:noProof/>
          <w:sz w:val="28"/>
          <w:szCs w:val="28"/>
          <w:lang w:eastAsia="en-US"/>
        </w:rPr>
        <w:t>NV, USA</w:t>
      </w:r>
      <w:bookmarkStart w:id="0" w:name="_GoBack"/>
      <w:bookmarkEnd w:id="0"/>
      <w:r w:rsidRPr="00252769">
        <w:rPr>
          <w:rFonts w:eastAsia="MS Mincho"/>
          <w:b/>
          <w:bCs/>
          <w:noProof/>
          <w:sz w:val="28"/>
          <w:szCs w:val="28"/>
          <w:lang w:eastAsia="en-US"/>
        </w:rPr>
        <w:t>, May 13</w:t>
      </w:r>
      <w:r w:rsidR="00B74586">
        <w:rPr>
          <w:rFonts w:eastAsia="MS Mincho"/>
          <w:b/>
          <w:bCs/>
          <w:noProof/>
          <w:sz w:val="28"/>
          <w:szCs w:val="28"/>
          <w:vertAlign w:val="superscript"/>
          <w:lang w:eastAsia="en-US"/>
        </w:rPr>
        <w:t>rd</w:t>
      </w:r>
      <w:r w:rsidRPr="00252769">
        <w:rPr>
          <w:rFonts w:eastAsia="MS Mincho"/>
          <w:b/>
          <w:bCs/>
          <w:noProof/>
          <w:sz w:val="28"/>
          <w:szCs w:val="28"/>
          <w:lang w:eastAsia="en-US"/>
        </w:rPr>
        <w:t xml:space="preserve"> – 17</w:t>
      </w:r>
      <w:r w:rsidR="00005C7D" w:rsidRPr="00252769">
        <w:rPr>
          <w:rFonts w:eastAsia="MS Mincho"/>
          <w:b/>
          <w:bCs/>
          <w:noProof/>
          <w:sz w:val="28"/>
          <w:szCs w:val="28"/>
          <w:vertAlign w:val="superscript"/>
          <w:lang w:eastAsia="en-US"/>
        </w:rPr>
        <w:t>th</w:t>
      </w:r>
      <w:r w:rsidR="00005C7D" w:rsidRPr="00252769">
        <w:rPr>
          <w:rFonts w:eastAsia="MS Mincho"/>
          <w:b/>
          <w:bCs/>
          <w:noProof/>
          <w:sz w:val="28"/>
          <w:szCs w:val="28"/>
          <w:lang w:eastAsia="en-US"/>
        </w:rPr>
        <w:t>, 2019</w:t>
      </w:r>
    </w:p>
    <w:p w:rsidR="00005C7D" w:rsidRPr="00252769" w:rsidRDefault="00005C7D" w:rsidP="00005C7D">
      <w:pPr>
        <w:pStyle w:val="Header"/>
        <w:rPr>
          <w:bCs/>
          <w:color w:val="000000" w:themeColor="text1"/>
          <w:sz w:val="28"/>
          <w:szCs w:val="28"/>
          <w:lang w:eastAsia="ja-JP"/>
        </w:rPr>
      </w:pPr>
    </w:p>
    <w:p w:rsidR="00005C7D" w:rsidRPr="00252769"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 xml:space="preserve">Agenda item: </w:t>
      </w:r>
      <w:r w:rsidR="004D581C" w:rsidRPr="00252769">
        <w:rPr>
          <w:rFonts w:eastAsia="MS Mincho"/>
          <w:b/>
          <w:bCs/>
          <w:noProof/>
          <w:sz w:val="28"/>
          <w:szCs w:val="28"/>
          <w:lang w:eastAsia="en-US"/>
        </w:rPr>
        <w:t>7.2.13.4</w:t>
      </w:r>
    </w:p>
    <w:p w:rsidR="00005C7D" w:rsidRPr="00252769"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Source: MediaTek Inc.</w:t>
      </w:r>
    </w:p>
    <w:p w:rsidR="00005C7D" w:rsidRPr="00252769"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 xml:space="preserve">Title: </w:t>
      </w:r>
      <w:r w:rsidR="004D581C" w:rsidRPr="00252769">
        <w:rPr>
          <w:rFonts w:eastAsia="MS Mincho"/>
          <w:b/>
          <w:bCs/>
          <w:noProof/>
          <w:sz w:val="28"/>
          <w:szCs w:val="28"/>
          <w:lang w:eastAsia="en-US"/>
        </w:rPr>
        <w:t>Efficient and low latency SCell data transmission for NR CA</w:t>
      </w:r>
    </w:p>
    <w:p w:rsidR="00005C7D"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Document for: Discussion and Decision</w:t>
      </w:r>
    </w:p>
    <w:p w:rsidR="00B74586" w:rsidRPr="00252769" w:rsidRDefault="00B74586" w:rsidP="00005C7D">
      <w:pPr>
        <w:widowControl w:val="0"/>
        <w:tabs>
          <w:tab w:val="center" w:pos="4536"/>
          <w:tab w:val="right" w:pos="8280"/>
          <w:tab w:val="right" w:pos="9781"/>
        </w:tabs>
        <w:ind w:right="-58"/>
        <w:rPr>
          <w:rFonts w:eastAsia="MS Mincho"/>
          <w:b/>
          <w:bCs/>
          <w:noProof/>
          <w:sz w:val="28"/>
          <w:szCs w:val="28"/>
          <w:lang w:eastAsia="en-US"/>
        </w:rPr>
      </w:pPr>
    </w:p>
    <w:p w:rsidR="00005C7D" w:rsidRPr="009F29FB" w:rsidRDefault="00005C7D" w:rsidP="00005C7D">
      <w:pPr>
        <w:pStyle w:val="Heading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t>Introduction</w:t>
      </w:r>
      <w:r w:rsidRPr="009F29FB">
        <w:rPr>
          <w:rFonts w:eastAsia="新細明體" w:cs="Arial"/>
          <w:color w:val="000000" w:themeColor="text1"/>
          <w:lang w:eastAsia="zh-TW"/>
        </w:rPr>
        <w:t xml:space="preserve"> </w:t>
      </w:r>
    </w:p>
    <w:p w:rsidR="00BE7765" w:rsidRPr="00327D24" w:rsidRDefault="004958E9" w:rsidP="00BE7765">
      <w:r>
        <w:t xml:space="preserve">In </w:t>
      </w:r>
      <w:r w:rsidR="00E87F99">
        <w:t xml:space="preserve">the email discussion summary after </w:t>
      </w:r>
      <w:r>
        <w:t>RAN1 #96-bis</w:t>
      </w:r>
      <w:r w:rsidR="00E87F99">
        <w:t xml:space="preserve"> [1</w:t>
      </w:r>
      <w:r>
        <w:t xml:space="preserve">] </w:t>
      </w:r>
      <w:r w:rsidR="00EB0815">
        <w:t>for e</w:t>
      </w:r>
      <w:r w:rsidR="00EB0815" w:rsidRPr="00EB0815">
        <w:t xml:space="preserve">fficient SCell </w:t>
      </w:r>
      <w:r w:rsidR="001B3AE4">
        <w:t xml:space="preserve">operation </w:t>
      </w:r>
      <w:r w:rsidR="00EB0815" w:rsidRPr="00EB0815">
        <w:t>for NR CA</w:t>
      </w:r>
      <w:r w:rsidR="00722866">
        <w:t xml:space="preserve">, </w:t>
      </w:r>
      <w:r w:rsidR="00C75D48">
        <w:t xml:space="preserve">several </w:t>
      </w:r>
      <w:r w:rsidR="00C75D48">
        <w:rPr>
          <w:bCs/>
          <w:szCs w:val="22"/>
          <w:lang w:eastAsia="x-none"/>
        </w:rPr>
        <w:t xml:space="preserve">possible </w:t>
      </w:r>
      <w:r w:rsidR="00BE7765">
        <w:rPr>
          <w:bCs/>
          <w:szCs w:val="22"/>
          <w:lang w:eastAsia="x-none"/>
        </w:rPr>
        <w:t>versions, v1, v2, v1a and v2a</w:t>
      </w:r>
      <w:r w:rsidR="003A38E0">
        <w:rPr>
          <w:bCs/>
          <w:szCs w:val="22"/>
          <w:lang w:eastAsia="x-none"/>
        </w:rPr>
        <w:t>,</w:t>
      </w:r>
      <w:r w:rsidR="00C75D48">
        <w:rPr>
          <w:bCs/>
          <w:szCs w:val="22"/>
          <w:lang w:eastAsia="x-none"/>
        </w:rPr>
        <w:t xml:space="preserve"> were </w:t>
      </w:r>
      <w:r w:rsidR="00BE7765">
        <w:rPr>
          <w:bCs/>
          <w:szCs w:val="22"/>
          <w:lang w:eastAsia="x-none"/>
        </w:rPr>
        <w:t>collected</w:t>
      </w:r>
      <w:r w:rsidR="00C75D48">
        <w:rPr>
          <w:bCs/>
          <w:szCs w:val="22"/>
          <w:lang w:eastAsia="x-none"/>
        </w:rPr>
        <w:t xml:space="preserve"> in the conclusion</w:t>
      </w:r>
      <w:r w:rsidR="00986838">
        <w:rPr>
          <w:bCs/>
          <w:szCs w:val="22"/>
          <w:lang w:eastAsia="x-none"/>
        </w:rPr>
        <w:t>.</w:t>
      </w:r>
      <w:r w:rsidR="00BE7765">
        <w:rPr>
          <w:bCs/>
          <w:szCs w:val="22"/>
          <w:lang w:eastAsia="x-none"/>
        </w:rPr>
        <w:t xml:space="preserve"> </w:t>
      </w:r>
      <w:r w:rsidR="00BE7765">
        <w:t xml:space="preserve">In particular, </w:t>
      </w:r>
      <w:r w:rsidR="00BE7765" w:rsidRPr="00327D24">
        <w:t xml:space="preserve">v2a is the </w:t>
      </w:r>
      <w:r w:rsidR="00BE7765">
        <w:t>latest</w:t>
      </w:r>
      <w:r w:rsidR="00BE7765" w:rsidRPr="00327D24">
        <w:t xml:space="preserve"> version </w:t>
      </w:r>
      <w:r w:rsidR="00BE7765">
        <w:t>close to the consensus. To establish a base for further discussion, the following proposal is suggested.</w:t>
      </w:r>
    </w:p>
    <w:p w:rsidR="00BE7765" w:rsidRPr="00252769" w:rsidRDefault="00BE7765" w:rsidP="00BE7765">
      <w:pPr>
        <w:spacing w:before="120"/>
        <w:rPr>
          <w:rFonts w:eastAsia="MS Mincho"/>
          <w:b/>
          <w:lang w:eastAsia="ja-JP"/>
        </w:rPr>
      </w:pPr>
      <w:r>
        <w:rPr>
          <w:rFonts w:eastAsia="MS Mincho"/>
          <w:b/>
          <w:i/>
          <w:lang w:eastAsia="ja-JP"/>
        </w:rPr>
        <w:br/>
      </w:r>
      <w:r w:rsidRPr="00252769">
        <w:rPr>
          <w:rFonts w:eastAsia="MS Mincho"/>
          <w:b/>
          <w:u w:val="single"/>
          <w:lang w:eastAsia="ja-JP"/>
        </w:rPr>
        <w:t>Proposal 1</w:t>
      </w:r>
      <w:r w:rsidRPr="00252769">
        <w:rPr>
          <w:rFonts w:eastAsia="MS Mincho"/>
          <w:b/>
          <w:lang w:eastAsia="ja-JP"/>
        </w:rPr>
        <w:t>:  Observation v2a is agreed for the further discussion/specification.</w:t>
      </w:r>
    </w:p>
    <w:p w:rsidR="00EB0815" w:rsidRDefault="00EB0815" w:rsidP="00005C7D"/>
    <w:p w:rsidR="00EB0815" w:rsidRDefault="00EB0815" w:rsidP="00005C7D"/>
    <w:p w:rsidR="00C75D48" w:rsidRPr="00862A14" w:rsidRDefault="00C75D48" w:rsidP="00C75D48">
      <w:pPr>
        <w:pStyle w:val="BodyText"/>
        <w:rPr>
          <w:b/>
          <w:u w:val="single"/>
        </w:rPr>
      </w:pPr>
      <w:r w:rsidRPr="00862A14">
        <w:rPr>
          <w:b/>
          <w:highlight w:val="yellow"/>
          <w:u w:val="single"/>
        </w:rPr>
        <w:t>v2a</w:t>
      </w:r>
    </w:p>
    <w:p w:rsidR="00C75D48" w:rsidRPr="002A6D2A" w:rsidRDefault="002A6D2A" w:rsidP="00F80A9E">
      <w:pPr>
        <w:pStyle w:val="ListParagraph"/>
        <w:numPr>
          <w:ilvl w:val="0"/>
          <w:numId w:val="2"/>
        </w:numPr>
        <w:rPr>
          <w:szCs w:val="20"/>
        </w:rPr>
      </w:pPr>
      <w:r w:rsidRPr="002A6D2A">
        <w:t xml:space="preserve">For NR, </w:t>
      </w:r>
      <w:r w:rsidR="00C75D48" w:rsidRPr="002A6D2A">
        <w:t>it is possible using Rel15 signalling to support: (i) sparse/no PDCCH monitoring on the scheduling cell(s) for activated Scell(s) and (ii) activated Scell(s) with CSI measurement/reporting. However, Rel15 signalling does not provide a mechanism for fast adaptation from sparse/no PDCCH monitoring to more frequent PDCCH monitoring for the activated Scell(s)</w:t>
      </w:r>
      <w:r>
        <w:t>.</w:t>
      </w:r>
    </w:p>
    <w:p w:rsidR="00C75D48" w:rsidRPr="002A6D2A" w:rsidRDefault="00C75D48" w:rsidP="00F80A9E">
      <w:pPr>
        <w:pStyle w:val="ListParagraph"/>
        <w:numPr>
          <w:ilvl w:val="1"/>
          <w:numId w:val="2"/>
        </w:numPr>
        <w:rPr>
          <w:szCs w:val="20"/>
        </w:rPr>
      </w:pPr>
      <w:r w:rsidRPr="002A6D2A">
        <w:t>For example, a Scell can be configured with two BWPs, BWP1 with frequent PDCCH monitoring occasions and BWP2 with sparse PDCCH monitoring. Then, fast adaptation from BWP2 to BWP1 is not possible using Rel15 signalling as the BWP switch command can only be sent in the sparse PDCCH monitoring occasions.</w:t>
      </w:r>
    </w:p>
    <w:p w:rsidR="00C75D48" w:rsidRPr="002A6D2A" w:rsidRDefault="00C75D48" w:rsidP="00F80A9E">
      <w:pPr>
        <w:pStyle w:val="ListParagraph"/>
        <w:numPr>
          <w:ilvl w:val="0"/>
          <w:numId w:val="2"/>
        </w:numPr>
        <w:rPr>
          <w:szCs w:val="20"/>
        </w:rPr>
      </w:pPr>
      <w:r w:rsidRPr="002A6D2A">
        <w:t xml:space="preserve">If supported for Rel16, additional implicit/explicit L1 signaling mechanisms can enable fast adaptation from sparse/no PDCCH monitoring to more frequent PDCCH monitoring for the activated Scell(s). </w:t>
      </w:r>
    </w:p>
    <w:p w:rsidR="00C75D48" w:rsidRPr="002A6D2A" w:rsidRDefault="00C75D48" w:rsidP="00F80A9E">
      <w:pPr>
        <w:pStyle w:val="ListParagraph"/>
        <w:numPr>
          <w:ilvl w:val="1"/>
          <w:numId w:val="2"/>
        </w:numPr>
      </w:pPr>
      <w:r w:rsidRPr="002A6D2A">
        <w:t xml:space="preserve">Potential additional L1 signalling mechanisms include </w:t>
      </w:r>
    </w:p>
    <w:p w:rsidR="00C75D48" w:rsidRPr="002A6D2A" w:rsidRDefault="00C75D48" w:rsidP="00F80A9E">
      <w:pPr>
        <w:pStyle w:val="ListParagraph"/>
        <w:numPr>
          <w:ilvl w:val="2"/>
          <w:numId w:val="2"/>
        </w:numPr>
      </w:pPr>
      <w:r w:rsidRPr="002A6D2A">
        <w:t>Using DCI on cell x to control PDCCH monitoring for Scell(s)</w:t>
      </w:r>
    </w:p>
    <w:p w:rsidR="00C75D48" w:rsidRPr="002A6D2A" w:rsidRDefault="00C75D48" w:rsidP="00F80A9E">
      <w:pPr>
        <w:pStyle w:val="ListParagraph"/>
        <w:numPr>
          <w:ilvl w:val="2"/>
          <w:numId w:val="2"/>
        </w:numPr>
      </w:pPr>
      <w:r w:rsidRPr="002A6D2A">
        <w:t>Using DCI on cell x to control CSI measurements on Scell(s)</w:t>
      </w:r>
    </w:p>
    <w:p w:rsidR="00C75D48" w:rsidRPr="002A6D2A" w:rsidRDefault="00C75D48" w:rsidP="00F80A9E">
      <w:pPr>
        <w:pStyle w:val="ListParagraph"/>
        <w:numPr>
          <w:ilvl w:val="2"/>
          <w:numId w:val="2"/>
        </w:numPr>
      </w:pPr>
      <w:r w:rsidRPr="002A6D2A">
        <w:t>Using DCI on cell x to switch between different configured BWPs on Scell(s)</w:t>
      </w:r>
    </w:p>
    <w:p w:rsidR="00C75D48" w:rsidRPr="002A6D2A" w:rsidRDefault="00C75D48" w:rsidP="00F80A9E">
      <w:pPr>
        <w:pStyle w:val="ListParagraph"/>
        <w:numPr>
          <w:ilvl w:val="2"/>
          <w:numId w:val="2"/>
        </w:numPr>
      </w:pPr>
      <w:r w:rsidRPr="002A6D2A">
        <w:t>Using implicit association between triggering of active BWP switching on Pcell/scheduling cell and triggering of BWP switching on Scell(s).</w:t>
      </w:r>
    </w:p>
    <w:p w:rsidR="00C75D48" w:rsidRPr="002A6D2A" w:rsidRDefault="00C75D48" w:rsidP="00F80A9E">
      <w:pPr>
        <w:pStyle w:val="ListParagraph"/>
        <w:numPr>
          <w:ilvl w:val="2"/>
          <w:numId w:val="2"/>
        </w:numPr>
      </w:pPr>
      <w:r w:rsidRPr="002A6D2A">
        <w:t>Note: In above bullets, cell x is a cell that is different from the Scell(s). Cell x can be e.g. Pcell, scheduling cell for the Scell(s)</w:t>
      </w:r>
    </w:p>
    <w:p w:rsidR="00C75D48" w:rsidRPr="002A6D2A" w:rsidRDefault="00C75D48" w:rsidP="00F80A9E">
      <w:pPr>
        <w:pStyle w:val="ListParagraph"/>
        <w:numPr>
          <w:ilvl w:val="1"/>
          <w:numId w:val="2"/>
        </w:numPr>
      </w:pPr>
      <w:r w:rsidRPr="002A6D2A">
        <w:t>Note: In NR, MAC CE based adaptation of CSI measurement/reporting for Scell(s) is possible using Rel15 signalling.</w:t>
      </w:r>
    </w:p>
    <w:p w:rsidR="00C75D48" w:rsidRPr="002A6D2A" w:rsidRDefault="00C75D48" w:rsidP="00F80A9E">
      <w:pPr>
        <w:pStyle w:val="ListParagraph"/>
        <w:numPr>
          <w:ilvl w:val="0"/>
          <w:numId w:val="2"/>
        </w:numPr>
      </w:pPr>
      <w:r w:rsidRPr="002A6D2A">
        <w:t>If supported for Rel16, additional mechanisms such as per BWP configuration of cross-carrier scheduling can enable fast adaptation between cross-carrier and self-scheduling for activated Scells.</w:t>
      </w:r>
    </w:p>
    <w:p w:rsidR="00722866" w:rsidRPr="00533BA1" w:rsidRDefault="00722866" w:rsidP="00005C7D">
      <w:pPr>
        <w:rPr>
          <w:b/>
          <w:i/>
          <w:sz w:val="28"/>
          <w:szCs w:val="28"/>
        </w:rPr>
      </w:pPr>
    </w:p>
    <w:p w:rsidR="00533BA1" w:rsidRDefault="00533BA1" w:rsidP="00005C7D"/>
    <w:p w:rsidR="0084283F" w:rsidRDefault="00005C7D" w:rsidP="00005C7D">
      <w:r>
        <w:t xml:space="preserve">In this contribution, we </w:t>
      </w:r>
      <w:r w:rsidR="00BE7765">
        <w:t>base on</w:t>
      </w:r>
      <w:r w:rsidR="005D704B">
        <w:t xml:space="preserve"> </w:t>
      </w:r>
      <w:r w:rsidR="00C75D48">
        <w:t xml:space="preserve">v2a and </w:t>
      </w:r>
      <w:r>
        <w:t xml:space="preserve">further elaborate </w:t>
      </w:r>
      <w:r w:rsidR="00C75D48">
        <w:t>how to achieve e</w:t>
      </w:r>
      <w:r w:rsidR="00C75D48" w:rsidRPr="00EB0815">
        <w:t>fficient and low latency SCell data transmission for NR CA</w:t>
      </w:r>
      <w:r w:rsidR="00C75D48">
        <w:t>.</w:t>
      </w:r>
    </w:p>
    <w:p w:rsidR="003F712E" w:rsidRDefault="003A1B1A" w:rsidP="000F1654">
      <w:pPr>
        <w:pStyle w:val="Heading1"/>
        <w:rPr>
          <w:rFonts w:cs="Arial"/>
          <w:color w:val="000000" w:themeColor="text1"/>
        </w:rPr>
      </w:pPr>
      <w:r>
        <w:rPr>
          <w:rFonts w:cs="Arial"/>
          <w:color w:val="000000" w:themeColor="text1"/>
        </w:rPr>
        <w:lastRenderedPageBreak/>
        <w:t>2</w:t>
      </w:r>
      <w:r w:rsidRPr="001F61A8">
        <w:rPr>
          <w:rFonts w:cs="Arial"/>
          <w:color w:val="000000" w:themeColor="text1"/>
        </w:rPr>
        <w:tab/>
      </w:r>
      <w:r w:rsidR="003F712E">
        <w:rPr>
          <w:rFonts w:cs="Arial"/>
          <w:color w:val="000000" w:themeColor="text1"/>
        </w:rPr>
        <w:t xml:space="preserve">Switching </w:t>
      </w:r>
      <w:r w:rsidR="00252769">
        <w:rPr>
          <w:rFonts w:cs="Arial"/>
          <w:color w:val="000000" w:themeColor="text1"/>
        </w:rPr>
        <w:t>UE</w:t>
      </w:r>
      <w:r w:rsidR="003F712E">
        <w:rPr>
          <w:rFonts w:cs="Arial"/>
          <w:color w:val="000000" w:themeColor="text1"/>
        </w:rPr>
        <w:t xml:space="preserve"> dormancy behaviour </w:t>
      </w:r>
      <w:r w:rsidR="004C0687">
        <w:rPr>
          <w:rFonts w:cs="Arial"/>
          <w:color w:val="000000" w:themeColor="text1"/>
        </w:rPr>
        <w:t>to</w:t>
      </w:r>
      <w:r w:rsidR="003F712E">
        <w:rPr>
          <w:rFonts w:cs="Arial"/>
          <w:color w:val="000000" w:themeColor="text1"/>
        </w:rPr>
        <w:t xml:space="preserve"> normal </w:t>
      </w:r>
      <w:r w:rsidR="00252769">
        <w:rPr>
          <w:rFonts w:cs="Arial"/>
          <w:color w:val="000000" w:themeColor="text1"/>
        </w:rPr>
        <w:t>PDCCH monitoring in</w:t>
      </w:r>
      <w:r w:rsidR="003F712E">
        <w:rPr>
          <w:rFonts w:cs="Arial"/>
          <w:color w:val="000000" w:themeColor="text1"/>
        </w:rPr>
        <w:t xml:space="preserve"> SCell</w:t>
      </w:r>
      <w:r w:rsidR="0035206F">
        <w:rPr>
          <w:rFonts w:cs="Arial"/>
          <w:color w:val="000000" w:themeColor="text1"/>
        </w:rPr>
        <w:t>(s)</w:t>
      </w:r>
    </w:p>
    <w:p w:rsidR="00C04F5C" w:rsidRDefault="006657E2" w:rsidP="00263703">
      <w:pPr>
        <w:spacing w:before="120"/>
      </w:pPr>
      <w:r>
        <w:t>For NR</w:t>
      </w:r>
      <w:r w:rsidR="0035206F" w:rsidRPr="006657E2">
        <w:t>,</w:t>
      </w:r>
      <w:r w:rsidR="0035206F">
        <w:t xml:space="preserve"> it</w:t>
      </w:r>
      <w:r>
        <w:t xml:space="preserve"> is possible using Rel</w:t>
      </w:r>
      <w:r w:rsidR="00BE7765">
        <w:t>-</w:t>
      </w:r>
      <w:r>
        <w:t>15 signal</w:t>
      </w:r>
      <w:r w:rsidR="0035206F">
        <w:t>ing to support</w:t>
      </w:r>
      <w:r w:rsidR="0035206F" w:rsidRPr="006657E2">
        <w:t xml:space="preserve">: (i) </w:t>
      </w:r>
      <w:r w:rsidR="0035206F">
        <w:t>sparse</w:t>
      </w:r>
      <w:r w:rsidR="0035206F" w:rsidRPr="006657E2">
        <w:t>/no</w:t>
      </w:r>
      <w:r w:rsidR="0035206F">
        <w:t xml:space="preserve"> PDCCH monitoring </w:t>
      </w:r>
      <w:r w:rsidR="0035206F" w:rsidRPr="006657E2">
        <w:t xml:space="preserve">for </w:t>
      </w:r>
      <w:r w:rsidR="0035206F">
        <w:t>activated Scell</w:t>
      </w:r>
      <w:r w:rsidR="0035206F" w:rsidRPr="006657E2">
        <w:t>(</w:t>
      </w:r>
      <w:r w:rsidR="0035206F">
        <w:t>s</w:t>
      </w:r>
      <w:r w:rsidR="0035206F" w:rsidRPr="006657E2">
        <w:t>)</w:t>
      </w:r>
      <w:r w:rsidR="0035206F">
        <w:t xml:space="preserve"> and </w:t>
      </w:r>
      <w:r w:rsidR="0035206F" w:rsidRPr="006657E2">
        <w:t>(ii) activated Scell(s)</w:t>
      </w:r>
      <w:r w:rsidR="0035206F">
        <w:t xml:space="preserve"> with CSI measurement/r</w:t>
      </w:r>
      <w:r w:rsidR="00261501">
        <w:t>eporting. However, Rel</w:t>
      </w:r>
      <w:r w:rsidR="00BE7765">
        <w:t>-</w:t>
      </w:r>
      <w:r w:rsidR="00261501">
        <w:t>15 signal</w:t>
      </w:r>
      <w:r w:rsidR="0035206F">
        <w:t>ing does not provide a mechanism for fast adaptation from sparse</w:t>
      </w:r>
      <w:r w:rsidR="0035206F" w:rsidRPr="006657E2">
        <w:t>/no</w:t>
      </w:r>
      <w:r w:rsidR="0035206F">
        <w:t xml:space="preserve"> PDCCH monitoring to </w:t>
      </w:r>
      <w:r>
        <w:t xml:space="preserve">normal </w:t>
      </w:r>
      <w:r w:rsidR="0035206F">
        <w:t xml:space="preserve">PDCCH monitoring </w:t>
      </w:r>
      <w:r w:rsidR="0035206F" w:rsidRPr="006657E2">
        <w:t>on</w:t>
      </w:r>
      <w:r w:rsidR="0035206F">
        <w:t xml:space="preserve"> </w:t>
      </w:r>
      <w:r w:rsidR="0035206F" w:rsidRPr="006657E2">
        <w:t>for</w:t>
      </w:r>
      <w:r w:rsidR="0035206F">
        <w:t xml:space="preserve"> the </w:t>
      </w:r>
      <w:r w:rsidR="0035206F" w:rsidRPr="006657E2">
        <w:t>activated</w:t>
      </w:r>
      <w:r w:rsidR="0035206F">
        <w:t xml:space="preserve"> Scell(s)</w:t>
      </w:r>
      <w:r>
        <w:t xml:space="preserve">. </w:t>
      </w:r>
      <w:r w:rsidRPr="006657E2">
        <w:t>Here</w:t>
      </w:r>
      <w:r w:rsidR="00BE7765">
        <w:t xml:space="preserve"> we focus on how to bring SCell</w:t>
      </w:r>
      <w:r w:rsidRPr="006657E2">
        <w:t>(s)</w:t>
      </w:r>
      <w:r w:rsidR="00BE7765">
        <w:t xml:space="preserve"> with dormancy behavior</w:t>
      </w:r>
      <w:r w:rsidRPr="006657E2">
        <w:t xml:space="preserve"> back to normal </w:t>
      </w:r>
      <w:r>
        <w:t>PDCCH monitoring and the consideratio</w:t>
      </w:r>
      <w:r w:rsidR="00BE7765">
        <w:t>ns for CSI measurement/reporting</w:t>
      </w:r>
      <w:r>
        <w:t>.</w:t>
      </w:r>
    </w:p>
    <w:p w:rsidR="00C04F5C" w:rsidRPr="006657E2" w:rsidRDefault="00C04F5C" w:rsidP="0035206F">
      <w:pPr>
        <w:rPr>
          <w:lang w:eastAsia="en-US"/>
        </w:rPr>
      </w:pPr>
    </w:p>
    <w:p w:rsidR="00FC11EB" w:rsidRPr="00204459" w:rsidRDefault="00BE7765" w:rsidP="00533BA1">
      <w:pPr>
        <w:spacing w:before="120"/>
        <w:rPr>
          <w:rFonts w:eastAsia="MS Mincho"/>
          <w:b/>
          <w:sz w:val="32"/>
          <w:szCs w:val="32"/>
          <w:lang w:val="en-GB"/>
        </w:rPr>
      </w:pPr>
      <w:r>
        <w:rPr>
          <w:rFonts w:eastAsia="MS Mincho"/>
          <w:b/>
          <w:sz w:val="32"/>
          <w:szCs w:val="32"/>
          <w:lang w:val="en-GB"/>
        </w:rPr>
        <w:t>2.1 Cross-</w:t>
      </w:r>
      <w:r w:rsidR="00FC11EB" w:rsidRPr="00204459">
        <w:rPr>
          <w:rFonts w:eastAsia="MS Mincho"/>
          <w:b/>
          <w:sz w:val="32"/>
          <w:szCs w:val="32"/>
          <w:lang w:val="en-GB"/>
        </w:rPr>
        <w:t xml:space="preserve">carrier </w:t>
      </w:r>
      <w:r w:rsidR="00FC11EB" w:rsidRPr="00204459">
        <w:rPr>
          <w:rFonts w:eastAsia="MS Mincho" w:hint="eastAsia"/>
          <w:b/>
          <w:sz w:val="32"/>
          <w:szCs w:val="32"/>
          <w:lang w:val="en-GB"/>
        </w:rPr>
        <w:t>s</w:t>
      </w:r>
      <w:r w:rsidR="00FC11EB" w:rsidRPr="00204459">
        <w:rPr>
          <w:rFonts w:eastAsia="MS Mincho"/>
          <w:b/>
          <w:sz w:val="32"/>
          <w:szCs w:val="32"/>
          <w:lang w:val="en-GB"/>
        </w:rPr>
        <w:t>cheduling based solution</w:t>
      </w:r>
    </w:p>
    <w:p w:rsidR="00261501" w:rsidRDefault="00901270" w:rsidP="00901270">
      <w:pPr>
        <w:spacing w:before="120"/>
      </w:pPr>
      <w:r>
        <w:rPr>
          <w:rFonts w:eastAsia="MS Mincho"/>
          <w:lang w:val="en-GB"/>
        </w:rPr>
        <w:t xml:space="preserve">In the conclusion of [1], it is </w:t>
      </w:r>
      <w:r w:rsidRPr="001276E6">
        <w:t>discussed</w:t>
      </w:r>
      <w:r>
        <w:rPr>
          <w:rFonts w:eastAsia="MS Mincho"/>
          <w:lang w:val="en-GB"/>
        </w:rPr>
        <w:t xml:space="preserve"> that </w:t>
      </w:r>
      <w:r>
        <w:t xml:space="preserve">additional mechanisms such as per BWP configuration of </w:t>
      </w:r>
      <w:r w:rsidRPr="001276E6">
        <w:t>cross-carrier scheduling</w:t>
      </w:r>
      <w:r>
        <w:t xml:space="preserve"> can enable fast adaptation between cross-carrier and self-scheduling for activated Scells in Rel</w:t>
      </w:r>
      <w:r w:rsidR="00BE7765">
        <w:t>-</w:t>
      </w:r>
      <w:r>
        <w:t>16. However, when the CC number is large (espec</w:t>
      </w:r>
      <w:r w:rsidRPr="00901270">
        <w:rPr>
          <w:rFonts w:hint="eastAsia"/>
        </w:rPr>
        <w:t>ially in FR2</w:t>
      </w:r>
      <w:r>
        <w:t xml:space="preserve">), </w:t>
      </w:r>
      <w:r w:rsidR="001276E6" w:rsidRPr="001276E6">
        <w:t xml:space="preserve">using </w:t>
      </w:r>
      <w:r w:rsidR="001276E6">
        <w:t xml:space="preserve">cross carrier scheduling </w:t>
      </w:r>
      <w:r w:rsidR="001276E6" w:rsidRPr="001276E6">
        <w:t xml:space="preserve">to bring SCell (s) from sparse/no PDCCH monitoring back to normal PDCCH monitoring results in large burden for PCell. </w:t>
      </w:r>
      <w:r w:rsidR="001276E6">
        <w:t>Hence, we have the following observation:</w:t>
      </w:r>
    </w:p>
    <w:p w:rsidR="002D0CBF" w:rsidRDefault="00252769" w:rsidP="00901270">
      <w:pPr>
        <w:spacing w:before="120"/>
        <w:rPr>
          <w:rFonts w:eastAsia="MS Mincho"/>
          <w:b/>
          <w:i/>
          <w:lang w:eastAsia="ja-JP"/>
        </w:rPr>
      </w:pPr>
      <w:r>
        <w:rPr>
          <w:rFonts w:eastAsia="MS Mincho"/>
          <w:b/>
          <w:i/>
          <w:lang w:eastAsia="ja-JP"/>
        </w:rPr>
        <w:br/>
      </w:r>
      <w:r w:rsidR="00C846DF" w:rsidRPr="00261501">
        <w:rPr>
          <w:rFonts w:eastAsia="MS Mincho"/>
          <w:b/>
          <w:i/>
          <w:lang w:eastAsia="ja-JP"/>
        </w:rPr>
        <w:t xml:space="preserve">Observation 1: </w:t>
      </w:r>
      <w:r w:rsidR="00261501" w:rsidRPr="00252769">
        <w:rPr>
          <w:rFonts w:eastAsia="MS Mincho"/>
          <w:b/>
          <w:lang w:eastAsia="ja-JP"/>
        </w:rPr>
        <w:t>When the CC number is large (espec</w:t>
      </w:r>
      <w:r w:rsidR="00261501" w:rsidRPr="00252769">
        <w:rPr>
          <w:rFonts w:eastAsia="MS Mincho" w:hint="eastAsia"/>
          <w:b/>
          <w:lang w:eastAsia="ja-JP"/>
        </w:rPr>
        <w:t>ially in FR2</w:t>
      </w:r>
      <w:r w:rsidR="00261501" w:rsidRPr="00252769">
        <w:rPr>
          <w:rFonts w:eastAsia="MS Mincho"/>
          <w:b/>
          <w:lang w:eastAsia="ja-JP"/>
        </w:rPr>
        <w:t>), if PCell is used to schedule each CC</w:t>
      </w:r>
      <w:r w:rsidR="004C2CF7" w:rsidRPr="00252769">
        <w:rPr>
          <w:rFonts w:eastAsia="MS Mincho"/>
          <w:b/>
          <w:lang w:eastAsia="ja-JP"/>
        </w:rPr>
        <w:t xml:space="preserve"> from sparse/no PDCCH monitoring to normal PDCCH monitoring</w:t>
      </w:r>
      <w:r w:rsidR="00261501" w:rsidRPr="00252769">
        <w:rPr>
          <w:rFonts w:eastAsia="MS Mincho"/>
          <w:b/>
          <w:lang w:eastAsia="ja-JP"/>
        </w:rPr>
        <w:t xml:space="preserve">, the </w:t>
      </w:r>
      <w:r w:rsidR="00BE7765" w:rsidRPr="00252769">
        <w:rPr>
          <w:rFonts w:eastAsia="MS Mincho"/>
          <w:b/>
          <w:lang w:eastAsia="ja-JP"/>
        </w:rPr>
        <w:t xml:space="preserve">control </w:t>
      </w:r>
      <w:r w:rsidR="00261501" w:rsidRPr="00252769">
        <w:rPr>
          <w:rFonts w:eastAsia="MS Mincho"/>
          <w:b/>
          <w:lang w:eastAsia="ja-JP"/>
        </w:rPr>
        <w:t xml:space="preserve">resource in PCell </w:t>
      </w:r>
      <w:r w:rsidR="00BE7765" w:rsidRPr="00252769">
        <w:rPr>
          <w:rFonts w:eastAsia="MS Mincho"/>
          <w:b/>
          <w:lang w:eastAsia="ja-JP"/>
        </w:rPr>
        <w:t>can</w:t>
      </w:r>
      <w:r w:rsidR="00261501" w:rsidRPr="00252769">
        <w:rPr>
          <w:rFonts w:eastAsia="MS Mincho"/>
          <w:b/>
          <w:lang w:eastAsia="ja-JP"/>
        </w:rPr>
        <w:t xml:space="preserve"> be exhausted and the decoding complexity </w:t>
      </w:r>
      <w:r w:rsidR="00BE7765" w:rsidRPr="00252769">
        <w:rPr>
          <w:rFonts w:eastAsia="MS Mincho"/>
          <w:b/>
          <w:lang w:eastAsia="ja-JP"/>
        </w:rPr>
        <w:t>remains</w:t>
      </w:r>
      <w:r w:rsidR="00261501" w:rsidRPr="00252769">
        <w:rPr>
          <w:rFonts w:eastAsia="MS Mincho"/>
          <w:b/>
          <w:lang w:eastAsia="ja-JP"/>
        </w:rPr>
        <w:t xml:space="preserve"> high. Cross carrier scheduling</w:t>
      </w:r>
      <w:r w:rsidR="001276E6" w:rsidRPr="00252769">
        <w:rPr>
          <w:rFonts w:eastAsia="MS Mincho"/>
          <w:b/>
          <w:lang w:eastAsia="ja-JP"/>
        </w:rPr>
        <w:t xml:space="preserve"> </w:t>
      </w:r>
      <w:r w:rsidR="00BE7765" w:rsidRPr="00252769">
        <w:rPr>
          <w:rFonts w:eastAsia="MS Mincho"/>
          <w:b/>
          <w:lang w:eastAsia="ja-JP"/>
        </w:rPr>
        <w:t xml:space="preserve">based solution is therefore </w:t>
      </w:r>
      <w:r w:rsidR="00261501" w:rsidRPr="00252769">
        <w:rPr>
          <w:rFonts w:eastAsia="MS Mincho"/>
          <w:b/>
          <w:lang w:eastAsia="ja-JP"/>
        </w:rPr>
        <w:t>not scalable</w:t>
      </w:r>
      <w:r w:rsidR="00BE7765" w:rsidRPr="00252769">
        <w:rPr>
          <w:rFonts w:eastAsia="MS Mincho"/>
          <w:b/>
          <w:lang w:eastAsia="ja-JP"/>
        </w:rPr>
        <w:t xml:space="preserve"> for </w:t>
      </w:r>
      <w:r>
        <w:rPr>
          <w:rFonts w:eastAsia="MS Mincho"/>
          <w:b/>
          <w:lang w:eastAsia="ja-JP"/>
        </w:rPr>
        <w:t>adapting SCell operations</w:t>
      </w:r>
      <w:r w:rsidR="00BE7765" w:rsidRPr="00252769">
        <w:rPr>
          <w:rFonts w:eastAsia="MS Mincho"/>
          <w:b/>
          <w:lang w:eastAsia="ja-JP"/>
        </w:rPr>
        <w:t>.</w:t>
      </w:r>
    </w:p>
    <w:p w:rsidR="00FC11EB" w:rsidRDefault="00FC11EB" w:rsidP="00901270">
      <w:pPr>
        <w:spacing w:before="120"/>
        <w:rPr>
          <w:rFonts w:eastAsia="MS Mincho"/>
          <w:b/>
          <w:i/>
          <w:lang w:eastAsia="ja-JP"/>
        </w:rPr>
      </w:pPr>
    </w:p>
    <w:p w:rsidR="00FC11EB" w:rsidRPr="00204459" w:rsidRDefault="00FC11EB" w:rsidP="00FC11EB">
      <w:pPr>
        <w:spacing w:before="120"/>
        <w:rPr>
          <w:rFonts w:eastAsia="MS Mincho"/>
          <w:b/>
          <w:sz w:val="32"/>
          <w:szCs w:val="32"/>
          <w:lang w:val="en-GB"/>
        </w:rPr>
      </w:pPr>
      <w:r w:rsidRPr="00204459">
        <w:rPr>
          <w:rFonts w:eastAsia="MS Mincho"/>
          <w:b/>
          <w:sz w:val="32"/>
          <w:szCs w:val="32"/>
          <w:lang w:val="en-GB"/>
        </w:rPr>
        <w:t>2.2 Additional L1 signaling/mechanism with multiple BWPs</w:t>
      </w:r>
    </w:p>
    <w:p w:rsidR="003942F4" w:rsidRPr="001276E6" w:rsidRDefault="00A31E90" w:rsidP="00901270">
      <w:pPr>
        <w:spacing w:before="120"/>
      </w:pPr>
      <w:r>
        <w:rPr>
          <w:rFonts w:eastAsia="MS Mincho"/>
          <w:lang w:val="en-GB"/>
        </w:rPr>
        <w:t xml:space="preserve">In the conclusion of [1], it is discussed how to </w:t>
      </w:r>
      <w:r>
        <w:t xml:space="preserve">enable fast adaptation from sparse/no PDCCH monitoring to more frequent PDCCH monitoring </w:t>
      </w:r>
      <w:r w:rsidRPr="001D1713">
        <w:t xml:space="preserve">for </w:t>
      </w:r>
      <w:r>
        <w:t>the activated Scell(s)</w:t>
      </w:r>
      <w:r w:rsidR="001D1713">
        <w:t xml:space="preserve"> using additional implicit/explicit L1 signaling mechanisms. </w:t>
      </w:r>
      <w:r w:rsidR="00496CCF">
        <w:t xml:space="preserve">During the discussion [1], the control of PDCCH monitoring and CSI measurements on SCell(s) are discussed. </w:t>
      </w:r>
      <w:r w:rsidR="002E4850">
        <w:t xml:space="preserve">One important factor to </w:t>
      </w:r>
      <w:r w:rsidR="00BE7765">
        <w:t>categorize the additional signaling/</w:t>
      </w:r>
      <w:r w:rsidR="002E4850">
        <w:t xml:space="preserve">mechanism </w:t>
      </w:r>
      <w:r w:rsidR="002E4850" w:rsidRPr="001276E6">
        <w:t xml:space="preserve">is whether </w:t>
      </w:r>
      <w:r w:rsidR="003942F4" w:rsidRPr="001276E6">
        <w:t>multiple BWPs are configured.</w:t>
      </w:r>
    </w:p>
    <w:p w:rsidR="002E4850" w:rsidRDefault="002E4850" w:rsidP="00901270">
      <w:pPr>
        <w:spacing w:before="120"/>
      </w:pPr>
    </w:p>
    <w:p w:rsidR="00B55889" w:rsidRPr="001276E6" w:rsidRDefault="002E4850" w:rsidP="002E4850">
      <w:pPr>
        <w:spacing w:before="120"/>
      </w:pPr>
      <w:r w:rsidRPr="001276E6">
        <w:t xml:space="preserve">If </w:t>
      </w:r>
      <w:r w:rsidR="001276E6" w:rsidRPr="001276E6">
        <w:t>multiple BWPs are configured</w:t>
      </w:r>
      <w:r>
        <w:t xml:space="preserve">, </w:t>
      </w:r>
      <w:r w:rsidRPr="002E4850">
        <w:t>different BWPs can be used to switch CSI or PDCCH monitoring;</w:t>
      </w:r>
      <w:r>
        <w:t xml:space="preserve"> implicit association between triggering of active BWP switching on Pcell/scheduling cell and triggering of BWP switching on Scell(s) can be used for smaller signaling overhead. </w:t>
      </w:r>
      <w:r w:rsidR="007627FC" w:rsidRPr="007627FC">
        <w:rPr>
          <w:rFonts w:hint="eastAsia"/>
        </w:rPr>
        <w:t>A</w:t>
      </w:r>
      <w:r w:rsidR="00BE7765">
        <w:t>ssume a typical multiple-BWP</w:t>
      </w:r>
      <w:r w:rsidR="007627FC">
        <w:t xml:space="preserve"> setting where PCell has one BWP </w:t>
      </w:r>
      <w:r w:rsidR="001276E6" w:rsidRPr="001276E6">
        <w:t>with large bandwidth</w:t>
      </w:r>
      <w:r w:rsidR="007627FC">
        <w:t xml:space="preserve"> and one BWP </w:t>
      </w:r>
      <w:r w:rsidR="001276E6" w:rsidRPr="001276E6">
        <w:t xml:space="preserve">with </w:t>
      </w:r>
      <w:r w:rsidR="00BE7765">
        <w:t>small</w:t>
      </w:r>
      <w:r w:rsidR="001276E6" w:rsidRPr="001276E6">
        <w:t xml:space="preserve"> bandwidth</w:t>
      </w:r>
      <w:r w:rsidR="00BE7765">
        <w:t xml:space="preserve"> and</w:t>
      </w:r>
      <w:r w:rsidR="007627FC">
        <w:t xml:space="preserve"> SCell has one </w:t>
      </w:r>
      <w:r w:rsidR="001276E6" w:rsidRPr="001276E6">
        <w:t xml:space="preserve">BWP with normal PDCCH monitoring </w:t>
      </w:r>
      <w:r w:rsidR="007627FC">
        <w:t xml:space="preserve">and one </w:t>
      </w:r>
      <w:r w:rsidR="001276E6" w:rsidRPr="001276E6">
        <w:t>BWP with dormancy behavior</w:t>
      </w:r>
      <w:r w:rsidR="007627FC">
        <w:t>,</w:t>
      </w:r>
      <w:r w:rsidR="00992C0C">
        <w:t xml:space="preserve"> as shown in Table I.</w:t>
      </w:r>
      <w:r w:rsidR="007627FC">
        <w:t xml:space="preserve"> </w:t>
      </w:r>
    </w:p>
    <w:p w:rsidR="00992C0C" w:rsidRDefault="00992C0C" w:rsidP="002E4850">
      <w:pPr>
        <w:spacing w:before="120"/>
      </w:pPr>
    </w:p>
    <w:p w:rsidR="00B55889" w:rsidRDefault="00B55889" w:rsidP="00B55889">
      <w:pPr>
        <w:jc w:val="center"/>
        <w:rPr>
          <w:b/>
          <w:sz w:val="22"/>
          <w:szCs w:val="22"/>
          <w:lang w:eastAsia="zh-TW"/>
        </w:rPr>
      </w:pPr>
      <w:r>
        <w:rPr>
          <w:b/>
          <w:sz w:val="22"/>
          <w:szCs w:val="22"/>
          <w:lang w:eastAsia="zh-TW"/>
        </w:rPr>
        <w:t>Table I</w:t>
      </w:r>
      <w:r w:rsidRPr="00460214">
        <w:rPr>
          <w:rFonts w:hint="eastAsia"/>
          <w:b/>
          <w:sz w:val="22"/>
          <w:szCs w:val="22"/>
          <w:lang w:eastAsia="zh-TW"/>
        </w:rPr>
        <w:t xml:space="preserve">: </w:t>
      </w:r>
      <w:r>
        <w:rPr>
          <w:b/>
          <w:sz w:val="22"/>
          <w:szCs w:val="22"/>
          <w:lang w:eastAsia="zh-TW"/>
        </w:rPr>
        <w:t>BWP Combinations of PCell and SCell</w:t>
      </w:r>
    </w:p>
    <w:p w:rsidR="00B55889" w:rsidRPr="00B55889" w:rsidRDefault="00B55889" w:rsidP="00B55889">
      <w:pPr>
        <w:jc w:val="center"/>
        <w:rPr>
          <w:b/>
          <w:sz w:val="22"/>
          <w:szCs w:val="22"/>
          <w:lang w:eastAsia="zh-TW"/>
        </w:rPr>
      </w:pPr>
    </w:p>
    <w:tbl>
      <w:tblPr>
        <w:tblStyle w:val="TableGrid"/>
        <w:tblW w:w="0" w:type="auto"/>
        <w:tblLook w:val="04A0" w:firstRow="1" w:lastRow="0" w:firstColumn="1" w:lastColumn="0" w:noHBand="0" w:noVBand="1"/>
      </w:tblPr>
      <w:tblGrid>
        <w:gridCol w:w="3596"/>
        <w:gridCol w:w="3597"/>
        <w:gridCol w:w="3597"/>
      </w:tblGrid>
      <w:tr w:rsidR="00B55889" w:rsidTr="00B55889">
        <w:tc>
          <w:tcPr>
            <w:tcW w:w="3596" w:type="dxa"/>
          </w:tcPr>
          <w:p w:rsidR="00B55889" w:rsidRPr="00AD04A0" w:rsidRDefault="00B55889" w:rsidP="00B55889">
            <w:pPr>
              <w:spacing w:before="120"/>
              <w:jc w:val="center"/>
            </w:pPr>
          </w:p>
        </w:tc>
        <w:tc>
          <w:tcPr>
            <w:tcW w:w="3597" w:type="dxa"/>
          </w:tcPr>
          <w:p w:rsidR="00B55889" w:rsidRPr="00AD04A0" w:rsidRDefault="00AD04A0" w:rsidP="002E4850">
            <w:pPr>
              <w:spacing w:before="120"/>
            </w:pPr>
            <w:r w:rsidRPr="00AD04A0">
              <w:t>SCell</w:t>
            </w:r>
            <w:r w:rsidR="00B55889" w:rsidRPr="00AD04A0">
              <w:t xml:space="preserve"> BWP</w:t>
            </w:r>
            <w:r w:rsidRPr="00AD04A0">
              <w:t xml:space="preserve"> with normal PDCCH monitoring</w:t>
            </w:r>
          </w:p>
        </w:tc>
        <w:tc>
          <w:tcPr>
            <w:tcW w:w="3597" w:type="dxa"/>
          </w:tcPr>
          <w:p w:rsidR="00B55889" w:rsidRPr="00AD04A0" w:rsidRDefault="00AD04A0" w:rsidP="002E4850">
            <w:pPr>
              <w:spacing w:before="120"/>
            </w:pPr>
            <w:r w:rsidRPr="00AD04A0">
              <w:t>SCell BWP with dormancy behavior</w:t>
            </w:r>
          </w:p>
        </w:tc>
      </w:tr>
      <w:tr w:rsidR="00B55889" w:rsidTr="00B55889">
        <w:tc>
          <w:tcPr>
            <w:tcW w:w="3596" w:type="dxa"/>
          </w:tcPr>
          <w:p w:rsidR="00B55889" w:rsidRPr="00AD04A0" w:rsidRDefault="00AD04A0" w:rsidP="002E4850">
            <w:pPr>
              <w:spacing w:before="120"/>
            </w:pPr>
            <w:r w:rsidRPr="00AD04A0">
              <w:t xml:space="preserve">PCell BWP with large bandwidth </w:t>
            </w:r>
            <w:r w:rsidR="00B55889" w:rsidRPr="00AD04A0">
              <w:t xml:space="preserve"> </w:t>
            </w:r>
          </w:p>
        </w:tc>
        <w:tc>
          <w:tcPr>
            <w:tcW w:w="3597" w:type="dxa"/>
          </w:tcPr>
          <w:p w:rsidR="00B55889" w:rsidRPr="00AD04A0" w:rsidRDefault="00252769" w:rsidP="002E4850">
            <w:pPr>
              <w:spacing w:before="120"/>
            </w:pPr>
            <w:r>
              <w:t>Setting</w:t>
            </w:r>
            <w:r w:rsidR="00B55889" w:rsidRPr="00AD04A0">
              <w:t xml:space="preserve"> 1</w:t>
            </w:r>
          </w:p>
        </w:tc>
        <w:tc>
          <w:tcPr>
            <w:tcW w:w="3597" w:type="dxa"/>
          </w:tcPr>
          <w:p w:rsidR="00B55889" w:rsidRPr="00AD04A0" w:rsidRDefault="00252769" w:rsidP="002E4850">
            <w:pPr>
              <w:spacing w:before="120"/>
            </w:pPr>
            <w:r>
              <w:t>Setting</w:t>
            </w:r>
            <w:r w:rsidR="00B55889" w:rsidRPr="00AD04A0">
              <w:t xml:space="preserve"> 2</w:t>
            </w:r>
          </w:p>
        </w:tc>
      </w:tr>
      <w:tr w:rsidR="00B55889" w:rsidTr="00B55889">
        <w:tc>
          <w:tcPr>
            <w:tcW w:w="3596" w:type="dxa"/>
          </w:tcPr>
          <w:p w:rsidR="00B55889" w:rsidRPr="00AD04A0" w:rsidRDefault="00AD04A0" w:rsidP="002E4850">
            <w:pPr>
              <w:spacing w:before="120"/>
            </w:pPr>
            <w:r w:rsidRPr="00AD04A0">
              <w:t xml:space="preserve">PCell BWP with small bandwidth </w:t>
            </w:r>
          </w:p>
        </w:tc>
        <w:tc>
          <w:tcPr>
            <w:tcW w:w="3597" w:type="dxa"/>
          </w:tcPr>
          <w:p w:rsidR="00B55889" w:rsidRPr="00AD04A0" w:rsidRDefault="00252769" w:rsidP="002E4850">
            <w:pPr>
              <w:spacing w:before="120"/>
            </w:pPr>
            <w:r>
              <w:t>Setting</w:t>
            </w:r>
            <w:r w:rsidR="00B55889" w:rsidRPr="00AD04A0">
              <w:t xml:space="preserve"> 3</w:t>
            </w:r>
          </w:p>
        </w:tc>
        <w:tc>
          <w:tcPr>
            <w:tcW w:w="3597" w:type="dxa"/>
          </w:tcPr>
          <w:p w:rsidR="00B55889" w:rsidRPr="00AD04A0" w:rsidRDefault="00252769" w:rsidP="002E4850">
            <w:pPr>
              <w:spacing w:before="120"/>
            </w:pPr>
            <w:r>
              <w:t>Setting</w:t>
            </w:r>
            <w:r w:rsidR="00B55889" w:rsidRPr="00AD04A0">
              <w:t xml:space="preserve"> 4</w:t>
            </w:r>
          </w:p>
        </w:tc>
      </w:tr>
    </w:tbl>
    <w:p w:rsidR="00171115" w:rsidRDefault="00171115" w:rsidP="00901270">
      <w:pPr>
        <w:spacing w:before="120"/>
      </w:pPr>
    </w:p>
    <w:p w:rsidR="00A11F9A" w:rsidRDefault="00B757B1" w:rsidP="00901270">
      <w:pPr>
        <w:spacing w:before="120"/>
      </w:pPr>
      <w:r>
        <w:t xml:space="preserve">Among the four </w:t>
      </w:r>
      <w:r w:rsidR="00252769">
        <w:t>settings</w:t>
      </w:r>
      <w:r>
        <w:t xml:space="preserve"> listed in Table I, </w:t>
      </w:r>
      <w:r w:rsidR="00252769">
        <w:t>setting</w:t>
      </w:r>
      <w:r w:rsidR="00261501">
        <w:t xml:space="preserve"> 1 can </w:t>
      </w:r>
      <w:r w:rsidR="00252769">
        <w:t>deliver</w:t>
      </w:r>
      <w:r w:rsidR="00261501">
        <w:t xml:space="preserve"> </w:t>
      </w:r>
      <w:r w:rsidR="00252769">
        <w:t>the highest data</w:t>
      </w:r>
      <w:r w:rsidR="00261501">
        <w:t xml:space="preserve"> </w:t>
      </w:r>
      <w:r w:rsidR="00252769">
        <w:t>rate</w:t>
      </w:r>
      <w:r w:rsidR="00261501">
        <w:t xml:space="preserve"> </w:t>
      </w:r>
      <w:r w:rsidR="00252769">
        <w:t>and</w:t>
      </w:r>
      <w:r w:rsidR="00261501">
        <w:t xml:space="preserve"> </w:t>
      </w:r>
      <w:r w:rsidR="00252769">
        <w:t>be used for efficient transmission of large data</w:t>
      </w:r>
      <w:r w:rsidR="00AD04A0">
        <w:t xml:space="preserve">. </w:t>
      </w:r>
      <w:r w:rsidR="00252769">
        <w:t>Setting</w:t>
      </w:r>
      <w:r w:rsidR="00AD04A0">
        <w:t xml:space="preserve"> 2 </w:t>
      </w:r>
      <w:r w:rsidR="00252769">
        <w:t>is, however, less efficient since SCell is not utilized to offload PCell traffic.</w:t>
      </w:r>
      <w:r w:rsidR="00A53147">
        <w:t xml:space="preserve"> </w:t>
      </w:r>
      <w:r w:rsidR="00252769">
        <w:t>Setting</w:t>
      </w:r>
      <w:r w:rsidR="00A53147">
        <w:t xml:space="preserve"> 3</w:t>
      </w:r>
      <w:r>
        <w:t xml:space="preserve"> </w:t>
      </w:r>
      <w:r w:rsidR="00252769">
        <w:t>has similar issue as setting 2 if large UE data is intended</w:t>
      </w:r>
      <w:r w:rsidR="00AD0F2B">
        <w:t>.</w:t>
      </w:r>
      <w:r w:rsidR="00252769">
        <w:t xml:space="preserve"> If there is only small UE data,</w:t>
      </w:r>
      <w:r w:rsidR="00AD0F2B">
        <w:t xml:space="preserve"> </w:t>
      </w:r>
      <w:r w:rsidR="00252769">
        <w:t>setting</w:t>
      </w:r>
      <w:r w:rsidR="00AD0F2B">
        <w:t xml:space="preserve"> 4 is a </w:t>
      </w:r>
      <w:r w:rsidR="00252769">
        <w:lastRenderedPageBreak/>
        <w:t>more energy efficient</w:t>
      </w:r>
      <w:r>
        <w:t xml:space="preserve"> </w:t>
      </w:r>
      <w:r w:rsidR="00252769">
        <w:t>setting for the UE</w:t>
      </w:r>
      <w:r>
        <w:t xml:space="preserve"> where PCell </w:t>
      </w:r>
      <w:r w:rsidR="00252769">
        <w:t>BWP reduces to</w:t>
      </w:r>
      <w:r w:rsidR="00AD0F2B">
        <w:t xml:space="preserve"> </w:t>
      </w:r>
      <w:r>
        <w:t xml:space="preserve">a </w:t>
      </w:r>
      <w:r w:rsidR="00AD0F2B">
        <w:t xml:space="preserve">small </w:t>
      </w:r>
      <w:r>
        <w:t xml:space="preserve">bandwidth and </w:t>
      </w:r>
      <w:r w:rsidR="00AD0F2B">
        <w:t xml:space="preserve">SCell </w:t>
      </w:r>
      <w:r w:rsidRPr="00AD04A0">
        <w:t xml:space="preserve">BWP </w:t>
      </w:r>
      <w:r w:rsidR="00252769">
        <w:t xml:space="preserve">allows UE </w:t>
      </w:r>
      <w:r w:rsidRPr="00AD04A0">
        <w:t>dormancy behavior</w:t>
      </w:r>
      <w:r w:rsidR="00AD0F2B">
        <w:t xml:space="preserve">. </w:t>
      </w:r>
      <w:r w:rsidR="00252769">
        <w:t>Among all flexibilities</w:t>
      </w:r>
      <w:r w:rsidR="00AD0F2B">
        <w:t xml:space="preserve">, </w:t>
      </w:r>
      <w:r w:rsidR="00252769">
        <w:t>settings 1 and</w:t>
      </w:r>
      <w:r w:rsidR="00992C0C">
        <w:t xml:space="preserve"> 4 are more </w:t>
      </w:r>
      <w:r w:rsidR="00252769">
        <w:t>useful</w:t>
      </w:r>
      <w:r w:rsidR="00992C0C">
        <w:t xml:space="preserve"> </w:t>
      </w:r>
      <w:r>
        <w:t xml:space="preserve">for </w:t>
      </w:r>
      <w:r w:rsidR="00813FF8">
        <w:t xml:space="preserve">prompt </w:t>
      </w:r>
      <w:r>
        <w:t xml:space="preserve">data transmission and </w:t>
      </w:r>
      <w:r w:rsidR="00252769">
        <w:t>better UE energy efficiency, respectively. Therefore</w:t>
      </w:r>
      <w:r>
        <w:t>, the following observation and proposal are drawn:</w:t>
      </w:r>
    </w:p>
    <w:p w:rsidR="00B757B1" w:rsidRDefault="00B757B1" w:rsidP="00901270">
      <w:pPr>
        <w:spacing w:before="120"/>
      </w:pPr>
    </w:p>
    <w:p w:rsidR="00C9342D" w:rsidRDefault="00A11F9A" w:rsidP="003A1B1A">
      <w:pPr>
        <w:spacing w:before="120"/>
        <w:rPr>
          <w:b/>
          <w:i/>
        </w:rPr>
      </w:pPr>
      <w:r w:rsidRPr="004F5999">
        <w:rPr>
          <w:b/>
          <w:i/>
        </w:rPr>
        <w:t>Observation</w:t>
      </w:r>
      <w:r>
        <w:rPr>
          <w:b/>
          <w:i/>
        </w:rPr>
        <w:t xml:space="preserve"> 2</w:t>
      </w:r>
      <w:r w:rsidRPr="0097611E">
        <w:rPr>
          <w:b/>
          <w:i/>
        </w:rPr>
        <w:t>:</w:t>
      </w:r>
      <w:r>
        <w:rPr>
          <w:b/>
          <w:i/>
        </w:rPr>
        <w:t xml:space="preserve"> </w:t>
      </w:r>
      <w:r w:rsidR="00252769" w:rsidRPr="00252769">
        <w:rPr>
          <w:b/>
        </w:rPr>
        <w:t>Bundled BWP configurations between PCell and SCell(s)</w:t>
      </w:r>
      <w:r w:rsidR="008D5FC4" w:rsidRPr="00252769">
        <w:rPr>
          <w:b/>
        </w:rPr>
        <w:t xml:space="preserve"> can </w:t>
      </w:r>
      <w:r w:rsidR="00B757B1" w:rsidRPr="00252769">
        <w:rPr>
          <w:b/>
        </w:rPr>
        <w:t>achieve prompt</w:t>
      </w:r>
      <w:r w:rsidR="008D5FC4" w:rsidRPr="00252769">
        <w:rPr>
          <w:b/>
        </w:rPr>
        <w:t xml:space="preserve"> </w:t>
      </w:r>
      <w:r w:rsidR="00B757B1" w:rsidRPr="00252769">
        <w:rPr>
          <w:b/>
        </w:rPr>
        <w:t xml:space="preserve">data transmission </w:t>
      </w:r>
      <w:r w:rsidR="00252769" w:rsidRPr="00252769">
        <w:rPr>
          <w:b/>
        </w:rPr>
        <w:t xml:space="preserve">with large-BW </w:t>
      </w:r>
      <w:r w:rsidR="00B757B1" w:rsidRPr="00252769">
        <w:rPr>
          <w:b/>
        </w:rPr>
        <w:t xml:space="preserve">BWP </w:t>
      </w:r>
      <w:r w:rsidR="00252769" w:rsidRPr="00252769">
        <w:rPr>
          <w:b/>
        </w:rPr>
        <w:t>in PCell and normal PDCCH monitoring in SCell(s) or</w:t>
      </w:r>
      <w:r w:rsidR="00B757B1" w:rsidRPr="00252769">
        <w:rPr>
          <w:b/>
        </w:rPr>
        <w:t xml:space="preserve"> </w:t>
      </w:r>
      <w:r w:rsidR="00252769" w:rsidRPr="00252769">
        <w:rPr>
          <w:b/>
        </w:rPr>
        <w:t>better UE energy efficiency</w:t>
      </w:r>
      <w:r w:rsidR="00B757B1" w:rsidRPr="00252769">
        <w:rPr>
          <w:b/>
        </w:rPr>
        <w:t xml:space="preserve"> </w:t>
      </w:r>
      <w:r w:rsidR="00252769" w:rsidRPr="00252769">
        <w:rPr>
          <w:b/>
        </w:rPr>
        <w:t xml:space="preserve">with small-BW BWP in PCell and allowing UE </w:t>
      </w:r>
      <w:r w:rsidR="00B757B1" w:rsidRPr="00252769">
        <w:rPr>
          <w:b/>
        </w:rPr>
        <w:t>dormancy behavior</w:t>
      </w:r>
      <w:r w:rsidR="00252769" w:rsidRPr="00252769">
        <w:rPr>
          <w:b/>
        </w:rPr>
        <w:t xml:space="preserve"> in SCell(s)</w:t>
      </w:r>
      <w:r w:rsidR="008D5FC4" w:rsidRPr="00252769">
        <w:rPr>
          <w:b/>
        </w:rPr>
        <w:t>.</w:t>
      </w:r>
    </w:p>
    <w:p w:rsidR="00B757B1" w:rsidRDefault="00B757B1" w:rsidP="003A1B1A">
      <w:pPr>
        <w:spacing w:before="120"/>
        <w:rPr>
          <w:b/>
          <w:i/>
        </w:rPr>
      </w:pPr>
    </w:p>
    <w:p w:rsidR="00E87F99" w:rsidRPr="00252769" w:rsidRDefault="00B757B1" w:rsidP="003A1B1A">
      <w:pPr>
        <w:spacing w:before="120"/>
        <w:rPr>
          <w:b/>
        </w:rPr>
      </w:pPr>
      <w:r w:rsidRPr="00252769">
        <w:rPr>
          <w:b/>
          <w:u w:val="single"/>
        </w:rPr>
        <w:t>Proposal 2</w:t>
      </w:r>
      <w:r w:rsidR="00C9342D" w:rsidRPr="00252769">
        <w:rPr>
          <w:b/>
        </w:rPr>
        <w:t>:</w:t>
      </w:r>
      <w:r w:rsidRPr="00252769">
        <w:rPr>
          <w:b/>
        </w:rPr>
        <w:t xml:space="preserve"> If multiple BWPs are configured,</w:t>
      </w:r>
      <w:r w:rsidR="00C9342D" w:rsidRPr="00252769">
        <w:rPr>
          <w:b/>
        </w:rPr>
        <w:t xml:space="preserve"> </w:t>
      </w:r>
      <w:r w:rsidRPr="00252769">
        <w:rPr>
          <w:b/>
        </w:rPr>
        <w:t>b</w:t>
      </w:r>
      <w:r w:rsidR="000E1592" w:rsidRPr="00252769">
        <w:rPr>
          <w:b/>
        </w:rPr>
        <w:t xml:space="preserve">undled </w:t>
      </w:r>
      <w:r w:rsidR="00252769" w:rsidRPr="00252769">
        <w:rPr>
          <w:b/>
        </w:rPr>
        <w:t>BWP switching between PCell and SCell(s) is supported as an</w:t>
      </w:r>
      <w:r w:rsidR="000E1592" w:rsidRPr="00252769">
        <w:rPr>
          <w:b/>
        </w:rPr>
        <w:t xml:space="preserve"> efficient and scalable </w:t>
      </w:r>
      <w:r w:rsidR="00252769" w:rsidRPr="00252769">
        <w:rPr>
          <w:b/>
        </w:rPr>
        <w:t xml:space="preserve">solution for </w:t>
      </w:r>
      <w:r w:rsidR="00252769">
        <w:rPr>
          <w:rFonts w:eastAsia="MS Mincho"/>
          <w:b/>
          <w:lang w:eastAsia="ja-JP"/>
        </w:rPr>
        <w:t>adapting SCell operations</w:t>
      </w:r>
      <w:r w:rsidR="00252769" w:rsidRPr="00252769">
        <w:rPr>
          <w:b/>
        </w:rPr>
        <w:t>.</w:t>
      </w:r>
    </w:p>
    <w:p w:rsidR="00C9342D" w:rsidRPr="00C9342D" w:rsidRDefault="00C9342D" w:rsidP="003A1B1A">
      <w:pPr>
        <w:spacing w:before="120"/>
        <w:rPr>
          <w:b/>
          <w:i/>
        </w:rPr>
      </w:pPr>
    </w:p>
    <w:p w:rsidR="00FC11EB" w:rsidRPr="00204459" w:rsidRDefault="00FC11EB" w:rsidP="00FC11EB">
      <w:pPr>
        <w:spacing w:before="120"/>
        <w:rPr>
          <w:rFonts w:eastAsia="MS Mincho"/>
          <w:b/>
          <w:sz w:val="32"/>
          <w:szCs w:val="32"/>
          <w:lang w:val="en-GB"/>
        </w:rPr>
      </w:pPr>
      <w:r w:rsidRPr="00204459">
        <w:rPr>
          <w:rFonts w:eastAsia="MS Mincho"/>
          <w:b/>
          <w:sz w:val="32"/>
          <w:szCs w:val="32"/>
          <w:lang w:val="en-GB"/>
        </w:rPr>
        <w:t xml:space="preserve">2.3 Additional L1 signaling/mechanism with </w:t>
      </w:r>
      <w:r w:rsidR="00252769">
        <w:rPr>
          <w:rFonts w:eastAsia="MS Mincho"/>
          <w:b/>
          <w:sz w:val="32"/>
          <w:szCs w:val="32"/>
          <w:lang w:val="en-GB"/>
        </w:rPr>
        <w:t xml:space="preserve">a </w:t>
      </w:r>
      <w:r w:rsidRPr="00204459">
        <w:rPr>
          <w:rFonts w:eastAsia="MS Mincho"/>
          <w:b/>
          <w:sz w:val="32"/>
          <w:szCs w:val="32"/>
          <w:lang w:val="en-GB"/>
        </w:rPr>
        <w:t>single BWP</w:t>
      </w:r>
    </w:p>
    <w:p w:rsidR="00E87F99" w:rsidRDefault="0097611E" w:rsidP="003A1B1A">
      <w:pPr>
        <w:spacing w:before="120"/>
      </w:pPr>
      <w:r>
        <w:t xml:space="preserve">If </w:t>
      </w:r>
      <w:r w:rsidR="00813FF8">
        <w:t xml:space="preserve">only </w:t>
      </w:r>
      <w:r w:rsidR="00252769">
        <w:t xml:space="preserve">a </w:t>
      </w:r>
      <w:r w:rsidR="00813FF8">
        <w:t>single</w:t>
      </w:r>
      <w:r w:rsidR="00C859AE">
        <w:t xml:space="preserve"> BWP is configured</w:t>
      </w:r>
      <w:r>
        <w:t xml:space="preserve">, </w:t>
      </w:r>
      <w:r w:rsidR="00252769">
        <w:t>additional</w:t>
      </w:r>
      <w:r>
        <w:t xml:space="preserve"> L1 signaling</w:t>
      </w:r>
      <w:r w:rsidR="00252769">
        <w:t>/mechanism</w:t>
      </w:r>
      <w:r>
        <w:t xml:space="preserve"> </w:t>
      </w:r>
      <w:r w:rsidR="00252769">
        <w:t>should be</w:t>
      </w:r>
      <w:r>
        <w:t xml:space="preserve"> </w:t>
      </w:r>
      <w:r w:rsidR="00252769">
        <w:t>utilized</w:t>
      </w:r>
      <w:r>
        <w:t xml:space="preserve"> to </w:t>
      </w:r>
      <w:r w:rsidR="00252769">
        <w:t>realize dormancy behavior in SCell. In UE</w:t>
      </w:r>
      <w:r>
        <w:t xml:space="preserve"> power saving</w:t>
      </w:r>
      <w:r w:rsidR="00252769">
        <w:t xml:space="preserve"> WI, PDCCH-based power-saving signal/channel is designed to include this functionality, and CA/DC enhancement WI should not duplicate the discussion and design.</w:t>
      </w:r>
    </w:p>
    <w:p w:rsidR="0097611E" w:rsidRDefault="0097611E" w:rsidP="003A1B1A">
      <w:pPr>
        <w:spacing w:before="120"/>
      </w:pPr>
    </w:p>
    <w:p w:rsidR="009B06DB" w:rsidRPr="00252769" w:rsidRDefault="00C859AE" w:rsidP="003A1B1A">
      <w:pPr>
        <w:spacing w:before="120"/>
        <w:rPr>
          <w:b/>
        </w:rPr>
      </w:pPr>
      <w:r w:rsidRPr="00252769">
        <w:rPr>
          <w:b/>
          <w:u w:val="single"/>
        </w:rPr>
        <w:t>Proposal 3</w:t>
      </w:r>
      <w:r w:rsidR="0097611E" w:rsidRPr="00252769">
        <w:rPr>
          <w:b/>
        </w:rPr>
        <w:t xml:space="preserve">: </w:t>
      </w:r>
      <w:r w:rsidR="00252769" w:rsidRPr="00252769">
        <w:rPr>
          <w:b/>
        </w:rPr>
        <w:t xml:space="preserve">If only a single BWP is configured, additional L1 signaling/mechanism to control SCell PDCCH monitoring is designed in UE power saving WI. CA/DC enhancement can focus on realizing dormancy behavior in SCell </w:t>
      </w:r>
      <w:r w:rsidR="00252769">
        <w:rPr>
          <w:b/>
        </w:rPr>
        <w:t>using multiple BWPs</w:t>
      </w:r>
      <w:r w:rsidR="00252769" w:rsidRPr="00252769">
        <w:rPr>
          <w:b/>
        </w:rPr>
        <w:t>.</w:t>
      </w:r>
    </w:p>
    <w:p w:rsidR="006D033C" w:rsidRPr="006D033C" w:rsidRDefault="006D033C" w:rsidP="003A1B1A">
      <w:pPr>
        <w:spacing w:before="120"/>
        <w:rPr>
          <w:b/>
          <w:i/>
        </w:rPr>
      </w:pPr>
    </w:p>
    <w:p w:rsidR="00E75F6A" w:rsidRPr="00F47B95" w:rsidRDefault="00252769" w:rsidP="003A1B1A">
      <w:pPr>
        <w:spacing w:before="120"/>
      </w:pPr>
      <w:r>
        <w:rPr>
          <w:rFonts w:eastAsia="MS Mincho"/>
        </w:rPr>
        <w:t>In addition to L1 signaling/mechanism</w:t>
      </w:r>
      <w:r w:rsidR="00E75F6A">
        <w:rPr>
          <w:rFonts w:eastAsia="MS Mincho"/>
        </w:rPr>
        <w:t xml:space="preserve">, it is </w:t>
      </w:r>
      <w:r>
        <w:rPr>
          <w:rFonts w:eastAsia="MS Mincho"/>
        </w:rPr>
        <w:t>noted</w:t>
      </w:r>
      <w:r w:rsidR="00E75F6A">
        <w:rPr>
          <w:rFonts w:eastAsia="MS Mincho"/>
        </w:rPr>
        <w:t xml:space="preserve"> in [1] that</w:t>
      </w:r>
      <w:r w:rsidR="00E75F6A">
        <w:t>, MAC CE based adaptation of CSI measurement/reporting for Scell(s)</w:t>
      </w:r>
      <w:r w:rsidR="00F47B95">
        <w:t xml:space="preserve"> is possible using Rel</w:t>
      </w:r>
      <w:r w:rsidR="00BE7765">
        <w:t>-</w:t>
      </w:r>
      <w:r w:rsidR="00F47B95">
        <w:t>15 signal</w:t>
      </w:r>
      <w:r w:rsidR="00E75F6A">
        <w:t xml:space="preserve">ing in NR. </w:t>
      </w:r>
      <w:r w:rsidR="00F47B95">
        <w:t xml:space="preserve">If </w:t>
      </w:r>
      <w:r w:rsidR="00F47B95" w:rsidRPr="00F47B95">
        <w:t>PDCCH monitoring period adaptation</w:t>
      </w:r>
      <w:r w:rsidR="00F47B95">
        <w:t xml:space="preserve"> i</w:t>
      </w:r>
      <w:r>
        <w:t>s also included in MAC CE, MAC CE can be used to enable/disable dormancy behavior in SCell</w:t>
      </w:r>
      <w:r w:rsidR="00F47B95">
        <w:t>.</w:t>
      </w:r>
      <w:r>
        <w:t xml:space="preserve"> This is however belong to RAN2 discussion.</w:t>
      </w:r>
    </w:p>
    <w:p w:rsidR="00E75F6A" w:rsidRDefault="00E75F6A" w:rsidP="003A1B1A">
      <w:pPr>
        <w:spacing w:before="120"/>
        <w:rPr>
          <w:rFonts w:eastAsia="MS Mincho"/>
        </w:rPr>
      </w:pPr>
    </w:p>
    <w:p w:rsidR="00E87F99" w:rsidRPr="00252769" w:rsidRDefault="00F47B95" w:rsidP="003A1B1A">
      <w:pPr>
        <w:spacing w:before="120"/>
        <w:rPr>
          <w:b/>
        </w:rPr>
      </w:pPr>
      <w:r w:rsidRPr="004F5999">
        <w:rPr>
          <w:b/>
          <w:i/>
        </w:rPr>
        <w:t>Observation</w:t>
      </w:r>
      <w:r>
        <w:rPr>
          <w:b/>
          <w:i/>
        </w:rPr>
        <w:t xml:space="preserve"> 4</w:t>
      </w:r>
      <w:r w:rsidRPr="0097611E">
        <w:rPr>
          <w:b/>
          <w:i/>
        </w:rPr>
        <w:t>:</w:t>
      </w:r>
      <w:r>
        <w:rPr>
          <w:b/>
          <w:i/>
        </w:rPr>
        <w:t xml:space="preserve"> </w:t>
      </w:r>
      <w:r w:rsidRPr="00252769">
        <w:rPr>
          <w:b/>
        </w:rPr>
        <w:t xml:space="preserve">If PDCCH monitoring period adaptation </w:t>
      </w:r>
      <w:r w:rsidR="00252769">
        <w:rPr>
          <w:b/>
        </w:rPr>
        <w:t>is added to</w:t>
      </w:r>
      <w:r w:rsidRPr="00252769">
        <w:rPr>
          <w:b/>
        </w:rPr>
        <w:t xml:space="preserve"> MAC CE, MAC CE can be used to control both CSI measurement and PDCCH monitoring. </w:t>
      </w:r>
      <w:r w:rsidR="006D033C" w:rsidRPr="00252769">
        <w:rPr>
          <w:b/>
        </w:rPr>
        <w:t xml:space="preserve">However, </w:t>
      </w:r>
      <w:r w:rsidR="00D62E75" w:rsidRPr="00252769">
        <w:rPr>
          <w:b/>
        </w:rPr>
        <w:t>t</w:t>
      </w:r>
      <w:r w:rsidRPr="00252769">
        <w:rPr>
          <w:b/>
        </w:rPr>
        <w:t xml:space="preserve">his </w:t>
      </w:r>
      <w:r w:rsidR="00A430D0" w:rsidRPr="00252769">
        <w:rPr>
          <w:b/>
        </w:rPr>
        <w:t>should be discussed in RAN2</w:t>
      </w:r>
      <w:r w:rsidRPr="00252769">
        <w:rPr>
          <w:b/>
        </w:rPr>
        <w:t xml:space="preserve">. </w:t>
      </w:r>
    </w:p>
    <w:p w:rsidR="00263703" w:rsidRPr="00263703" w:rsidRDefault="00263703" w:rsidP="003A1B1A">
      <w:pPr>
        <w:spacing w:before="120"/>
        <w:rPr>
          <w:b/>
          <w:i/>
        </w:rPr>
      </w:pPr>
    </w:p>
    <w:p w:rsidR="00BB61FF" w:rsidRPr="009F29FB" w:rsidRDefault="00F47B95" w:rsidP="00BB61FF">
      <w:pPr>
        <w:pStyle w:val="Heading1"/>
        <w:rPr>
          <w:rFonts w:cs="Arial"/>
          <w:color w:val="000000" w:themeColor="text1"/>
        </w:rPr>
      </w:pPr>
      <w:r>
        <w:rPr>
          <w:rFonts w:eastAsia="新細明體" w:cs="Arial"/>
          <w:color w:val="000000" w:themeColor="text1"/>
          <w:lang w:eastAsia="zh-TW"/>
        </w:rPr>
        <w:t>3</w:t>
      </w:r>
      <w:r w:rsidR="00BB61FF" w:rsidRPr="009F29FB">
        <w:rPr>
          <w:rFonts w:cs="Arial"/>
          <w:color w:val="000000" w:themeColor="text1"/>
        </w:rPr>
        <w:tab/>
      </w:r>
      <w:r w:rsidR="00BB61FF" w:rsidRPr="009F29FB">
        <w:rPr>
          <w:rFonts w:eastAsia="新細明體" w:cs="Arial"/>
          <w:color w:val="000000" w:themeColor="text1"/>
          <w:lang w:eastAsia="zh-TW"/>
        </w:rPr>
        <w:t>Summary</w:t>
      </w:r>
      <w:r w:rsidR="00BB61FF" w:rsidRPr="009F29FB">
        <w:rPr>
          <w:rFonts w:cs="Arial"/>
          <w:color w:val="000000" w:themeColor="text1"/>
        </w:rPr>
        <w:t xml:space="preserve"> </w:t>
      </w:r>
    </w:p>
    <w:p w:rsidR="00BB61FF" w:rsidRDefault="00F47B95" w:rsidP="00BB61FF">
      <w:r>
        <w:t>In this contribution</w:t>
      </w:r>
      <w:r w:rsidR="00BB61FF">
        <w:t xml:space="preserve">, we investigate </w:t>
      </w:r>
      <w:r>
        <w:t>how to achieve e</w:t>
      </w:r>
      <w:r w:rsidRPr="00EB0815">
        <w:t>fficient and low latency SCell data transmission for NR CA</w:t>
      </w:r>
      <w:r w:rsidR="00BB61FF">
        <w:t>. In particular, we have:</w:t>
      </w:r>
    </w:p>
    <w:p w:rsidR="00263703" w:rsidRDefault="00263703" w:rsidP="00BB61FF"/>
    <w:p w:rsidR="00C859AE" w:rsidRPr="009D6C0B" w:rsidRDefault="00252769" w:rsidP="00C859AE">
      <w:pPr>
        <w:spacing w:before="120"/>
        <w:rPr>
          <w:rFonts w:eastAsia="MS Mincho"/>
          <w:b/>
          <w:i/>
          <w:lang w:eastAsia="ja-JP"/>
        </w:rPr>
      </w:pPr>
      <w:r w:rsidRPr="00252769">
        <w:rPr>
          <w:rFonts w:eastAsia="MS Mincho"/>
          <w:b/>
          <w:u w:val="single"/>
          <w:lang w:eastAsia="ja-JP"/>
        </w:rPr>
        <w:t>Proposal 1</w:t>
      </w:r>
      <w:r w:rsidRPr="00252769">
        <w:rPr>
          <w:rFonts w:eastAsia="MS Mincho"/>
          <w:b/>
          <w:lang w:eastAsia="ja-JP"/>
        </w:rPr>
        <w:t>:  Observation v2a is agreed for the further discussion/specification.</w:t>
      </w:r>
    </w:p>
    <w:p w:rsidR="00C859AE" w:rsidRDefault="00C859AE" w:rsidP="00BB61FF"/>
    <w:p w:rsidR="00C859AE" w:rsidRDefault="00252769" w:rsidP="00C859AE">
      <w:pPr>
        <w:spacing w:before="120"/>
        <w:rPr>
          <w:rFonts w:eastAsia="MS Mincho"/>
          <w:b/>
          <w:i/>
          <w:lang w:eastAsia="ja-JP"/>
        </w:rPr>
      </w:pPr>
      <w:r w:rsidRPr="00261501">
        <w:rPr>
          <w:rFonts w:eastAsia="MS Mincho"/>
          <w:b/>
          <w:i/>
          <w:lang w:eastAsia="ja-JP"/>
        </w:rPr>
        <w:t xml:space="preserve">Observation 1: </w:t>
      </w:r>
      <w:r w:rsidRPr="00252769">
        <w:rPr>
          <w:rFonts w:eastAsia="MS Mincho"/>
          <w:b/>
          <w:lang w:eastAsia="ja-JP"/>
        </w:rPr>
        <w:t>When the CC number is large (espec</w:t>
      </w:r>
      <w:r w:rsidRPr="00252769">
        <w:rPr>
          <w:rFonts w:eastAsia="MS Mincho" w:hint="eastAsia"/>
          <w:b/>
          <w:lang w:eastAsia="ja-JP"/>
        </w:rPr>
        <w:t>ially in FR2</w:t>
      </w:r>
      <w:r w:rsidRPr="00252769">
        <w:rPr>
          <w:rFonts w:eastAsia="MS Mincho"/>
          <w:b/>
          <w:lang w:eastAsia="ja-JP"/>
        </w:rPr>
        <w:t xml:space="preserve">), if PCell is used to schedule each CC from sparse/no PDCCH monitoring to normal PDCCH monitoring, the control resource in PCell can be exhausted and the decoding complexity remains high. Cross carrier scheduling based solution is therefore not scalable for </w:t>
      </w:r>
      <w:r>
        <w:rPr>
          <w:rFonts w:eastAsia="MS Mincho"/>
          <w:b/>
          <w:lang w:eastAsia="ja-JP"/>
        </w:rPr>
        <w:t>adapting SCell operations</w:t>
      </w:r>
      <w:r w:rsidRPr="00252769">
        <w:rPr>
          <w:rFonts w:eastAsia="MS Mincho"/>
          <w:b/>
          <w:lang w:eastAsia="ja-JP"/>
        </w:rPr>
        <w:t>.</w:t>
      </w:r>
    </w:p>
    <w:p w:rsidR="00C859AE" w:rsidRDefault="00C859AE" w:rsidP="00BB61FF"/>
    <w:p w:rsidR="00252769" w:rsidRDefault="00252769" w:rsidP="00252769">
      <w:pPr>
        <w:spacing w:before="120"/>
        <w:rPr>
          <w:b/>
          <w:i/>
        </w:rPr>
      </w:pPr>
      <w:r w:rsidRPr="004F5999">
        <w:rPr>
          <w:b/>
          <w:i/>
        </w:rPr>
        <w:t>Observation</w:t>
      </w:r>
      <w:r>
        <w:rPr>
          <w:b/>
          <w:i/>
        </w:rPr>
        <w:t xml:space="preserve"> 2</w:t>
      </w:r>
      <w:r w:rsidRPr="0097611E">
        <w:rPr>
          <w:b/>
          <w:i/>
        </w:rPr>
        <w:t>:</w:t>
      </w:r>
      <w:r>
        <w:rPr>
          <w:b/>
          <w:i/>
        </w:rPr>
        <w:t xml:space="preserve"> </w:t>
      </w:r>
      <w:r w:rsidRPr="00252769">
        <w:rPr>
          <w:b/>
        </w:rPr>
        <w:t>Bundled BWP configurations between PCell and SCell(s) can achieve prompt data transmission with large-BW BWP in PCell and normal PDCCH monitoring in SCell(s) or better UE energy efficiency with small-BW BWP in PCell and allowing UE dormancy behavior in SCell(s).</w:t>
      </w:r>
    </w:p>
    <w:p w:rsidR="00252769" w:rsidRDefault="00252769" w:rsidP="00252769">
      <w:pPr>
        <w:spacing w:before="120"/>
        <w:rPr>
          <w:b/>
          <w:i/>
        </w:rPr>
      </w:pPr>
    </w:p>
    <w:p w:rsidR="00252769" w:rsidRPr="00252769" w:rsidRDefault="00252769" w:rsidP="00252769">
      <w:pPr>
        <w:spacing w:before="120"/>
        <w:rPr>
          <w:b/>
        </w:rPr>
      </w:pPr>
      <w:r w:rsidRPr="00252769">
        <w:rPr>
          <w:b/>
          <w:u w:val="single"/>
        </w:rPr>
        <w:t>Proposal 2</w:t>
      </w:r>
      <w:r w:rsidRPr="00252769">
        <w:rPr>
          <w:b/>
        </w:rPr>
        <w:t xml:space="preserve">: If multiple BWPs are configured, bundled BWP switching between PCell and SCell(s) is supported as an efficient and scalable solution for </w:t>
      </w:r>
      <w:r>
        <w:rPr>
          <w:b/>
        </w:rPr>
        <w:t>adapting</w:t>
      </w:r>
      <w:r w:rsidRPr="00252769">
        <w:rPr>
          <w:b/>
        </w:rPr>
        <w:t xml:space="preserve"> SCell operations.</w:t>
      </w:r>
    </w:p>
    <w:p w:rsidR="00C859AE" w:rsidRDefault="00C859AE" w:rsidP="00BB61FF"/>
    <w:p w:rsidR="00252769" w:rsidRPr="00252769" w:rsidRDefault="00252769" w:rsidP="00252769">
      <w:pPr>
        <w:spacing w:before="120"/>
        <w:rPr>
          <w:b/>
        </w:rPr>
      </w:pPr>
      <w:r w:rsidRPr="00252769">
        <w:rPr>
          <w:b/>
          <w:u w:val="single"/>
        </w:rPr>
        <w:t>Proposal 3</w:t>
      </w:r>
      <w:r w:rsidRPr="00252769">
        <w:rPr>
          <w:b/>
        </w:rPr>
        <w:t xml:space="preserve">: If only a single BWP is configured, additional L1 signaling/mechanism to control SCell PDCCH monitoring is designed in UE power saving WI. CA/DC enhancement can focus on realizing dormancy behavior in SCell </w:t>
      </w:r>
      <w:r>
        <w:rPr>
          <w:b/>
        </w:rPr>
        <w:t>using multiple BWPs</w:t>
      </w:r>
      <w:r w:rsidRPr="00252769">
        <w:rPr>
          <w:b/>
        </w:rPr>
        <w:t>.</w:t>
      </w:r>
    </w:p>
    <w:p w:rsidR="00FD12AE" w:rsidRDefault="00FD12AE" w:rsidP="00FD12AE">
      <w:pPr>
        <w:spacing w:before="120"/>
        <w:rPr>
          <w:color w:val="FF0000"/>
        </w:rPr>
      </w:pPr>
    </w:p>
    <w:p w:rsidR="00252769" w:rsidRDefault="00252769" w:rsidP="00252769">
      <w:pPr>
        <w:spacing w:before="120"/>
        <w:rPr>
          <w:b/>
        </w:rPr>
      </w:pPr>
      <w:r w:rsidRPr="004F5999">
        <w:rPr>
          <w:b/>
          <w:i/>
        </w:rPr>
        <w:t>Observation</w:t>
      </w:r>
      <w:r>
        <w:rPr>
          <w:b/>
          <w:i/>
        </w:rPr>
        <w:t xml:space="preserve"> 4</w:t>
      </w:r>
      <w:r w:rsidRPr="0097611E">
        <w:rPr>
          <w:b/>
          <w:i/>
        </w:rPr>
        <w:t>:</w:t>
      </w:r>
      <w:r>
        <w:rPr>
          <w:b/>
          <w:i/>
        </w:rPr>
        <w:t xml:space="preserve"> </w:t>
      </w:r>
      <w:r w:rsidRPr="00252769">
        <w:rPr>
          <w:b/>
        </w:rPr>
        <w:t xml:space="preserve">If PDCCH monitoring period adaptation </w:t>
      </w:r>
      <w:r>
        <w:rPr>
          <w:b/>
        </w:rPr>
        <w:t>is added to</w:t>
      </w:r>
      <w:r w:rsidRPr="00252769">
        <w:rPr>
          <w:b/>
        </w:rPr>
        <w:t xml:space="preserve"> MAC CE, MAC CE can be used to control both CSI measurement and PDCCH monitoring. However, this should be discussed in RAN2. </w:t>
      </w:r>
    </w:p>
    <w:p w:rsidR="00252769" w:rsidRDefault="00252769" w:rsidP="00252769">
      <w:pPr>
        <w:spacing w:before="120"/>
        <w:rPr>
          <w:b/>
        </w:rPr>
      </w:pPr>
    </w:p>
    <w:p w:rsidR="00252769" w:rsidRPr="00252769" w:rsidRDefault="00252769" w:rsidP="00252769">
      <w:pPr>
        <w:spacing w:before="120"/>
        <w:rPr>
          <w:b/>
        </w:rPr>
      </w:pPr>
    </w:p>
    <w:p w:rsidR="001E78EB" w:rsidRDefault="003F1347" w:rsidP="003F1347">
      <w:pPr>
        <w:pStyle w:val="Heading1"/>
        <w:rPr>
          <w:rFonts w:eastAsia="新細明體" w:cs="Arial"/>
          <w:color w:val="000000" w:themeColor="text1"/>
          <w:lang w:eastAsia="zh-TW"/>
        </w:rPr>
      </w:pPr>
      <w:r>
        <w:rPr>
          <w:rFonts w:eastAsia="新細明體" w:cs="Arial"/>
          <w:color w:val="000000" w:themeColor="text1"/>
          <w:lang w:eastAsia="zh-TW"/>
        </w:rPr>
        <w:t>Reference</w:t>
      </w:r>
    </w:p>
    <w:p w:rsidR="00AF7D0B" w:rsidRPr="00F47B95" w:rsidRDefault="00E87F99" w:rsidP="00F80A9E">
      <w:pPr>
        <w:pStyle w:val="References"/>
      </w:pPr>
      <w:r>
        <w:t xml:space="preserve">R1-1905915, </w:t>
      </w:r>
      <w:r w:rsidRPr="00BB6941">
        <w:t>Summary of email discussion [96b-NR-</w:t>
      </w:r>
      <w:r>
        <w:t xml:space="preserve">11], </w:t>
      </w:r>
      <w:r w:rsidRPr="00165A15">
        <w:t>RAN1 #96-bis</w:t>
      </w:r>
    </w:p>
    <w:sectPr w:rsidR="00AF7D0B" w:rsidRPr="00F47B95" w:rsidSect="008F183D">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3161" w:rsidRDefault="00B43161" w:rsidP="007003B8">
      <w:r>
        <w:separator/>
      </w:r>
    </w:p>
  </w:endnote>
  <w:endnote w:type="continuationSeparator" w:id="0">
    <w:p w:rsidR="00B43161" w:rsidRDefault="00B43161" w:rsidP="0070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3161" w:rsidRDefault="00B43161" w:rsidP="007003B8">
      <w:r>
        <w:separator/>
      </w:r>
    </w:p>
  </w:footnote>
  <w:footnote w:type="continuationSeparator" w:id="0">
    <w:p w:rsidR="00B43161" w:rsidRDefault="00B43161" w:rsidP="007003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845A7A"/>
    <w:multiLevelType w:val="hybridMultilevel"/>
    <w:tmpl w:val="9E4EA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3B2"/>
    <w:rsid w:val="00004F6B"/>
    <w:rsid w:val="00005C7D"/>
    <w:rsid w:val="00007986"/>
    <w:rsid w:val="00010D0F"/>
    <w:rsid w:val="000129D3"/>
    <w:rsid w:val="00015301"/>
    <w:rsid w:val="0001537E"/>
    <w:rsid w:val="00024795"/>
    <w:rsid w:val="00026511"/>
    <w:rsid w:val="0002667F"/>
    <w:rsid w:val="00027563"/>
    <w:rsid w:val="00032400"/>
    <w:rsid w:val="00035608"/>
    <w:rsid w:val="00036984"/>
    <w:rsid w:val="00040DE7"/>
    <w:rsid w:val="00044F16"/>
    <w:rsid w:val="000457A5"/>
    <w:rsid w:val="000466EC"/>
    <w:rsid w:val="00046E19"/>
    <w:rsid w:val="00047956"/>
    <w:rsid w:val="00050190"/>
    <w:rsid w:val="0005076E"/>
    <w:rsid w:val="00050F19"/>
    <w:rsid w:val="00054B03"/>
    <w:rsid w:val="000575D4"/>
    <w:rsid w:val="00061A81"/>
    <w:rsid w:val="000631DA"/>
    <w:rsid w:val="00063E95"/>
    <w:rsid w:val="000653B6"/>
    <w:rsid w:val="00067DE7"/>
    <w:rsid w:val="00067EA8"/>
    <w:rsid w:val="0007212B"/>
    <w:rsid w:val="00073846"/>
    <w:rsid w:val="0007411A"/>
    <w:rsid w:val="00082F23"/>
    <w:rsid w:val="00087CF4"/>
    <w:rsid w:val="00092AA6"/>
    <w:rsid w:val="000A167A"/>
    <w:rsid w:val="000A2421"/>
    <w:rsid w:val="000A3E89"/>
    <w:rsid w:val="000A687C"/>
    <w:rsid w:val="000B0EE1"/>
    <w:rsid w:val="000B1224"/>
    <w:rsid w:val="000B1F3C"/>
    <w:rsid w:val="000B22CB"/>
    <w:rsid w:val="000B5B22"/>
    <w:rsid w:val="000B73B2"/>
    <w:rsid w:val="000C1243"/>
    <w:rsid w:val="000C1BD9"/>
    <w:rsid w:val="000C34FE"/>
    <w:rsid w:val="000C3733"/>
    <w:rsid w:val="000C48A6"/>
    <w:rsid w:val="000D1470"/>
    <w:rsid w:val="000D435D"/>
    <w:rsid w:val="000D48E6"/>
    <w:rsid w:val="000D62B8"/>
    <w:rsid w:val="000E145E"/>
    <w:rsid w:val="000E1592"/>
    <w:rsid w:val="000E3D41"/>
    <w:rsid w:val="000E59EE"/>
    <w:rsid w:val="000F141C"/>
    <w:rsid w:val="000F1654"/>
    <w:rsid w:val="000F2C6F"/>
    <w:rsid w:val="000F31AD"/>
    <w:rsid w:val="000F3822"/>
    <w:rsid w:val="00100ADC"/>
    <w:rsid w:val="00104127"/>
    <w:rsid w:val="00110281"/>
    <w:rsid w:val="00111A9C"/>
    <w:rsid w:val="00117807"/>
    <w:rsid w:val="00123B56"/>
    <w:rsid w:val="001253E7"/>
    <w:rsid w:val="00125A47"/>
    <w:rsid w:val="001276E6"/>
    <w:rsid w:val="00130897"/>
    <w:rsid w:val="001339DA"/>
    <w:rsid w:val="00136CC7"/>
    <w:rsid w:val="0014117A"/>
    <w:rsid w:val="00141E29"/>
    <w:rsid w:val="001465DE"/>
    <w:rsid w:val="00147259"/>
    <w:rsid w:val="00154A41"/>
    <w:rsid w:val="0016361E"/>
    <w:rsid w:val="00163B87"/>
    <w:rsid w:val="00165A15"/>
    <w:rsid w:val="00165D09"/>
    <w:rsid w:val="001706C8"/>
    <w:rsid w:val="00170F0B"/>
    <w:rsid w:val="00171115"/>
    <w:rsid w:val="00173B6A"/>
    <w:rsid w:val="0017515B"/>
    <w:rsid w:val="00180113"/>
    <w:rsid w:val="001801FA"/>
    <w:rsid w:val="00181666"/>
    <w:rsid w:val="00183557"/>
    <w:rsid w:val="00185907"/>
    <w:rsid w:val="00190EBC"/>
    <w:rsid w:val="00193F5A"/>
    <w:rsid w:val="00194467"/>
    <w:rsid w:val="00194F38"/>
    <w:rsid w:val="00197FD8"/>
    <w:rsid w:val="001A017D"/>
    <w:rsid w:val="001A22DD"/>
    <w:rsid w:val="001B3AE4"/>
    <w:rsid w:val="001B6D2B"/>
    <w:rsid w:val="001C729D"/>
    <w:rsid w:val="001C7C83"/>
    <w:rsid w:val="001D1713"/>
    <w:rsid w:val="001D443D"/>
    <w:rsid w:val="001D4A4A"/>
    <w:rsid w:val="001D66A7"/>
    <w:rsid w:val="001E4FDB"/>
    <w:rsid w:val="001E7114"/>
    <w:rsid w:val="001E73BD"/>
    <w:rsid w:val="001E78EB"/>
    <w:rsid w:val="001F10BD"/>
    <w:rsid w:val="001F21E0"/>
    <w:rsid w:val="001F27EA"/>
    <w:rsid w:val="001F31D1"/>
    <w:rsid w:val="001F7E68"/>
    <w:rsid w:val="00204459"/>
    <w:rsid w:val="0020475D"/>
    <w:rsid w:val="00204BBD"/>
    <w:rsid w:val="00210006"/>
    <w:rsid w:val="00210510"/>
    <w:rsid w:val="0021163C"/>
    <w:rsid w:val="0021381A"/>
    <w:rsid w:val="00213C9F"/>
    <w:rsid w:val="00214E5A"/>
    <w:rsid w:val="002229D6"/>
    <w:rsid w:val="00233106"/>
    <w:rsid w:val="002343CD"/>
    <w:rsid w:val="00237BDB"/>
    <w:rsid w:val="00240867"/>
    <w:rsid w:val="00241C14"/>
    <w:rsid w:val="0024207A"/>
    <w:rsid w:val="00242AE1"/>
    <w:rsid w:val="00243B2C"/>
    <w:rsid w:val="0024463F"/>
    <w:rsid w:val="00245176"/>
    <w:rsid w:val="00251FDE"/>
    <w:rsid w:val="00252769"/>
    <w:rsid w:val="00253A8C"/>
    <w:rsid w:val="00253FD6"/>
    <w:rsid w:val="00256CBD"/>
    <w:rsid w:val="00261501"/>
    <w:rsid w:val="0026212F"/>
    <w:rsid w:val="00263703"/>
    <w:rsid w:val="0027214E"/>
    <w:rsid w:val="0027229D"/>
    <w:rsid w:val="00273C1E"/>
    <w:rsid w:val="002756A2"/>
    <w:rsid w:val="00277415"/>
    <w:rsid w:val="002802CC"/>
    <w:rsid w:val="00281897"/>
    <w:rsid w:val="002823F3"/>
    <w:rsid w:val="00283D4B"/>
    <w:rsid w:val="00285698"/>
    <w:rsid w:val="002862B2"/>
    <w:rsid w:val="002872BF"/>
    <w:rsid w:val="0028766A"/>
    <w:rsid w:val="002917FF"/>
    <w:rsid w:val="00292DDF"/>
    <w:rsid w:val="00293DB3"/>
    <w:rsid w:val="0029495A"/>
    <w:rsid w:val="00294FBD"/>
    <w:rsid w:val="0029518F"/>
    <w:rsid w:val="00295DE2"/>
    <w:rsid w:val="002A01C5"/>
    <w:rsid w:val="002A350A"/>
    <w:rsid w:val="002A4A5C"/>
    <w:rsid w:val="002A5BB7"/>
    <w:rsid w:val="002A5BEE"/>
    <w:rsid w:val="002A6D2A"/>
    <w:rsid w:val="002B18F0"/>
    <w:rsid w:val="002B1A26"/>
    <w:rsid w:val="002B227C"/>
    <w:rsid w:val="002B39F9"/>
    <w:rsid w:val="002C03E3"/>
    <w:rsid w:val="002C1C21"/>
    <w:rsid w:val="002C4390"/>
    <w:rsid w:val="002D0CBF"/>
    <w:rsid w:val="002D1681"/>
    <w:rsid w:val="002D26DE"/>
    <w:rsid w:val="002D444F"/>
    <w:rsid w:val="002D51D1"/>
    <w:rsid w:val="002D7403"/>
    <w:rsid w:val="002D742B"/>
    <w:rsid w:val="002E1AF8"/>
    <w:rsid w:val="002E4850"/>
    <w:rsid w:val="002E59CF"/>
    <w:rsid w:val="002E5B90"/>
    <w:rsid w:val="002E6391"/>
    <w:rsid w:val="002E6EDA"/>
    <w:rsid w:val="002F0EA4"/>
    <w:rsid w:val="002F5D5F"/>
    <w:rsid w:val="00302014"/>
    <w:rsid w:val="003124B8"/>
    <w:rsid w:val="00321744"/>
    <w:rsid w:val="00322788"/>
    <w:rsid w:val="003242F2"/>
    <w:rsid w:val="00325E94"/>
    <w:rsid w:val="003278D7"/>
    <w:rsid w:val="00327D24"/>
    <w:rsid w:val="00330C8F"/>
    <w:rsid w:val="00331401"/>
    <w:rsid w:val="0033156D"/>
    <w:rsid w:val="00333215"/>
    <w:rsid w:val="003350FE"/>
    <w:rsid w:val="003361E2"/>
    <w:rsid w:val="003375F3"/>
    <w:rsid w:val="00344D4E"/>
    <w:rsid w:val="0035206F"/>
    <w:rsid w:val="0035347E"/>
    <w:rsid w:val="00353EB2"/>
    <w:rsid w:val="00360D6B"/>
    <w:rsid w:val="00360E07"/>
    <w:rsid w:val="00361DD9"/>
    <w:rsid w:val="0036490A"/>
    <w:rsid w:val="00364BDB"/>
    <w:rsid w:val="00367D02"/>
    <w:rsid w:val="00372D2B"/>
    <w:rsid w:val="003812DB"/>
    <w:rsid w:val="00381F60"/>
    <w:rsid w:val="003847DA"/>
    <w:rsid w:val="00384ED7"/>
    <w:rsid w:val="00386B8E"/>
    <w:rsid w:val="00386CF8"/>
    <w:rsid w:val="003907A6"/>
    <w:rsid w:val="00391D92"/>
    <w:rsid w:val="003942F4"/>
    <w:rsid w:val="003955DA"/>
    <w:rsid w:val="0039754D"/>
    <w:rsid w:val="00397BB2"/>
    <w:rsid w:val="003A1B1A"/>
    <w:rsid w:val="003A24FC"/>
    <w:rsid w:val="003A2B74"/>
    <w:rsid w:val="003A3593"/>
    <w:rsid w:val="003A38E0"/>
    <w:rsid w:val="003A49AB"/>
    <w:rsid w:val="003A6EF1"/>
    <w:rsid w:val="003B1989"/>
    <w:rsid w:val="003B2191"/>
    <w:rsid w:val="003B2305"/>
    <w:rsid w:val="003B4F94"/>
    <w:rsid w:val="003C2417"/>
    <w:rsid w:val="003C2939"/>
    <w:rsid w:val="003C394F"/>
    <w:rsid w:val="003C5214"/>
    <w:rsid w:val="003C7B98"/>
    <w:rsid w:val="003D0425"/>
    <w:rsid w:val="003D052F"/>
    <w:rsid w:val="003D37C4"/>
    <w:rsid w:val="003D5ACE"/>
    <w:rsid w:val="003D6482"/>
    <w:rsid w:val="003E019D"/>
    <w:rsid w:val="003E74E2"/>
    <w:rsid w:val="003F1347"/>
    <w:rsid w:val="003F712E"/>
    <w:rsid w:val="003F7B60"/>
    <w:rsid w:val="00400975"/>
    <w:rsid w:val="00407A61"/>
    <w:rsid w:val="004108E1"/>
    <w:rsid w:val="00410EDC"/>
    <w:rsid w:val="00412A62"/>
    <w:rsid w:val="00412AE0"/>
    <w:rsid w:val="00412E69"/>
    <w:rsid w:val="00413E09"/>
    <w:rsid w:val="004152D0"/>
    <w:rsid w:val="00416AA7"/>
    <w:rsid w:val="00416B53"/>
    <w:rsid w:val="00416D82"/>
    <w:rsid w:val="0041705B"/>
    <w:rsid w:val="0042001E"/>
    <w:rsid w:val="004218FC"/>
    <w:rsid w:val="004229CC"/>
    <w:rsid w:val="004232DC"/>
    <w:rsid w:val="00431138"/>
    <w:rsid w:val="00433B5A"/>
    <w:rsid w:val="00433C66"/>
    <w:rsid w:val="0043498F"/>
    <w:rsid w:val="00434A53"/>
    <w:rsid w:val="004366E1"/>
    <w:rsid w:val="00436CB8"/>
    <w:rsid w:val="00443ECE"/>
    <w:rsid w:val="0044709C"/>
    <w:rsid w:val="00455368"/>
    <w:rsid w:val="004561CC"/>
    <w:rsid w:val="00457D3C"/>
    <w:rsid w:val="00457F84"/>
    <w:rsid w:val="00460214"/>
    <w:rsid w:val="00462871"/>
    <w:rsid w:val="00464366"/>
    <w:rsid w:val="00465DD0"/>
    <w:rsid w:val="00465EDD"/>
    <w:rsid w:val="00466132"/>
    <w:rsid w:val="0047357D"/>
    <w:rsid w:val="00474AD4"/>
    <w:rsid w:val="00475159"/>
    <w:rsid w:val="00481AFF"/>
    <w:rsid w:val="00483312"/>
    <w:rsid w:val="00485634"/>
    <w:rsid w:val="004865BC"/>
    <w:rsid w:val="00487B53"/>
    <w:rsid w:val="00492A2C"/>
    <w:rsid w:val="00493FB0"/>
    <w:rsid w:val="00494DAE"/>
    <w:rsid w:val="004958E9"/>
    <w:rsid w:val="00495B30"/>
    <w:rsid w:val="00496CCF"/>
    <w:rsid w:val="004974BE"/>
    <w:rsid w:val="004A04F3"/>
    <w:rsid w:val="004A43BA"/>
    <w:rsid w:val="004B0977"/>
    <w:rsid w:val="004C0687"/>
    <w:rsid w:val="004C19A0"/>
    <w:rsid w:val="004C2CF7"/>
    <w:rsid w:val="004C5CD9"/>
    <w:rsid w:val="004C5EE2"/>
    <w:rsid w:val="004D229B"/>
    <w:rsid w:val="004D35AE"/>
    <w:rsid w:val="004D3B5F"/>
    <w:rsid w:val="004D4D20"/>
    <w:rsid w:val="004D581C"/>
    <w:rsid w:val="004D7A8F"/>
    <w:rsid w:val="004D7D53"/>
    <w:rsid w:val="004E1FB9"/>
    <w:rsid w:val="004E22AD"/>
    <w:rsid w:val="004E2708"/>
    <w:rsid w:val="004E6ED1"/>
    <w:rsid w:val="004F44F0"/>
    <w:rsid w:val="004F5096"/>
    <w:rsid w:val="004F5999"/>
    <w:rsid w:val="005004CE"/>
    <w:rsid w:val="005026DC"/>
    <w:rsid w:val="00504D0B"/>
    <w:rsid w:val="00505A22"/>
    <w:rsid w:val="00514DD8"/>
    <w:rsid w:val="00515471"/>
    <w:rsid w:val="005205AA"/>
    <w:rsid w:val="00521627"/>
    <w:rsid w:val="00522503"/>
    <w:rsid w:val="005227BD"/>
    <w:rsid w:val="005232F2"/>
    <w:rsid w:val="00524946"/>
    <w:rsid w:val="00531479"/>
    <w:rsid w:val="00533BA1"/>
    <w:rsid w:val="00534658"/>
    <w:rsid w:val="00542A1B"/>
    <w:rsid w:val="00546EBF"/>
    <w:rsid w:val="00551403"/>
    <w:rsid w:val="00552686"/>
    <w:rsid w:val="00552ADB"/>
    <w:rsid w:val="00553319"/>
    <w:rsid w:val="00553BCE"/>
    <w:rsid w:val="00554276"/>
    <w:rsid w:val="00555319"/>
    <w:rsid w:val="00555926"/>
    <w:rsid w:val="005565FA"/>
    <w:rsid w:val="00556C56"/>
    <w:rsid w:val="0056355A"/>
    <w:rsid w:val="00566AC0"/>
    <w:rsid w:val="0057665A"/>
    <w:rsid w:val="0057797C"/>
    <w:rsid w:val="0058014D"/>
    <w:rsid w:val="00580B32"/>
    <w:rsid w:val="00582711"/>
    <w:rsid w:val="00584CC4"/>
    <w:rsid w:val="00585468"/>
    <w:rsid w:val="00585771"/>
    <w:rsid w:val="00587939"/>
    <w:rsid w:val="00591A08"/>
    <w:rsid w:val="00592096"/>
    <w:rsid w:val="0059375F"/>
    <w:rsid w:val="00593824"/>
    <w:rsid w:val="00596106"/>
    <w:rsid w:val="005A4A63"/>
    <w:rsid w:val="005A598B"/>
    <w:rsid w:val="005A5DBA"/>
    <w:rsid w:val="005B108E"/>
    <w:rsid w:val="005B235F"/>
    <w:rsid w:val="005B7DDE"/>
    <w:rsid w:val="005C2000"/>
    <w:rsid w:val="005C5777"/>
    <w:rsid w:val="005D0A38"/>
    <w:rsid w:val="005D1940"/>
    <w:rsid w:val="005D3A07"/>
    <w:rsid w:val="005D4EB3"/>
    <w:rsid w:val="005D6A68"/>
    <w:rsid w:val="005D704B"/>
    <w:rsid w:val="005D7376"/>
    <w:rsid w:val="005D7E08"/>
    <w:rsid w:val="005E0A4D"/>
    <w:rsid w:val="005E0ADF"/>
    <w:rsid w:val="005E23CA"/>
    <w:rsid w:val="005E2B7A"/>
    <w:rsid w:val="005E2CCD"/>
    <w:rsid w:val="005E68D6"/>
    <w:rsid w:val="005E699E"/>
    <w:rsid w:val="005E7796"/>
    <w:rsid w:val="005F07CC"/>
    <w:rsid w:val="005F2214"/>
    <w:rsid w:val="005F2F35"/>
    <w:rsid w:val="005F7029"/>
    <w:rsid w:val="005F7471"/>
    <w:rsid w:val="00603052"/>
    <w:rsid w:val="00603D7E"/>
    <w:rsid w:val="006041C7"/>
    <w:rsid w:val="00604C5F"/>
    <w:rsid w:val="00606080"/>
    <w:rsid w:val="006101D8"/>
    <w:rsid w:val="006104FA"/>
    <w:rsid w:val="00611E05"/>
    <w:rsid w:val="006135EB"/>
    <w:rsid w:val="00615070"/>
    <w:rsid w:val="00621749"/>
    <w:rsid w:val="00621F5E"/>
    <w:rsid w:val="00626FE2"/>
    <w:rsid w:val="006316C8"/>
    <w:rsid w:val="00631FB3"/>
    <w:rsid w:val="0063271E"/>
    <w:rsid w:val="006341CB"/>
    <w:rsid w:val="00636C87"/>
    <w:rsid w:val="00637062"/>
    <w:rsid w:val="00637DE3"/>
    <w:rsid w:val="006427AC"/>
    <w:rsid w:val="00643E58"/>
    <w:rsid w:val="00643F63"/>
    <w:rsid w:val="00647FF7"/>
    <w:rsid w:val="006504C2"/>
    <w:rsid w:val="00650F49"/>
    <w:rsid w:val="006510BE"/>
    <w:rsid w:val="006571DE"/>
    <w:rsid w:val="00660462"/>
    <w:rsid w:val="00660950"/>
    <w:rsid w:val="00663AF6"/>
    <w:rsid w:val="00663D07"/>
    <w:rsid w:val="006657E2"/>
    <w:rsid w:val="006707F9"/>
    <w:rsid w:val="00670DE0"/>
    <w:rsid w:val="00672C64"/>
    <w:rsid w:val="00674E92"/>
    <w:rsid w:val="006750D7"/>
    <w:rsid w:val="00680170"/>
    <w:rsid w:val="00680AA6"/>
    <w:rsid w:val="006850DD"/>
    <w:rsid w:val="006866E9"/>
    <w:rsid w:val="00687F1C"/>
    <w:rsid w:val="006918FD"/>
    <w:rsid w:val="00697CF6"/>
    <w:rsid w:val="006A263B"/>
    <w:rsid w:val="006A2F3C"/>
    <w:rsid w:val="006A450D"/>
    <w:rsid w:val="006A6633"/>
    <w:rsid w:val="006A683E"/>
    <w:rsid w:val="006A6B65"/>
    <w:rsid w:val="006B02E9"/>
    <w:rsid w:val="006B6699"/>
    <w:rsid w:val="006C2EF4"/>
    <w:rsid w:val="006C3A34"/>
    <w:rsid w:val="006C62BB"/>
    <w:rsid w:val="006D033C"/>
    <w:rsid w:val="006D4248"/>
    <w:rsid w:val="006F1D22"/>
    <w:rsid w:val="006F22DE"/>
    <w:rsid w:val="006F6D79"/>
    <w:rsid w:val="006F6EFE"/>
    <w:rsid w:val="007003B8"/>
    <w:rsid w:val="00700A3C"/>
    <w:rsid w:val="00701F1A"/>
    <w:rsid w:val="0070277B"/>
    <w:rsid w:val="00707FFD"/>
    <w:rsid w:val="0071257C"/>
    <w:rsid w:val="007128EC"/>
    <w:rsid w:val="007147CF"/>
    <w:rsid w:val="007153CB"/>
    <w:rsid w:val="00717951"/>
    <w:rsid w:val="0072083A"/>
    <w:rsid w:val="00720DC4"/>
    <w:rsid w:val="00722710"/>
    <w:rsid w:val="00722866"/>
    <w:rsid w:val="00723533"/>
    <w:rsid w:val="00725147"/>
    <w:rsid w:val="007257B0"/>
    <w:rsid w:val="0073105E"/>
    <w:rsid w:val="00732C1B"/>
    <w:rsid w:val="00734728"/>
    <w:rsid w:val="00734947"/>
    <w:rsid w:val="00736A8A"/>
    <w:rsid w:val="00740223"/>
    <w:rsid w:val="00743B0A"/>
    <w:rsid w:val="00743DB0"/>
    <w:rsid w:val="00744479"/>
    <w:rsid w:val="00745622"/>
    <w:rsid w:val="00750F03"/>
    <w:rsid w:val="007575DA"/>
    <w:rsid w:val="007627FC"/>
    <w:rsid w:val="00762D63"/>
    <w:rsid w:val="00763685"/>
    <w:rsid w:val="00764FA6"/>
    <w:rsid w:val="007657E6"/>
    <w:rsid w:val="00770E6B"/>
    <w:rsid w:val="00771412"/>
    <w:rsid w:val="007714A5"/>
    <w:rsid w:val="007763FA"/>
    <w:rsid w:val="00776AF9"/>
    <w:rsid w:val="00777E93"/>
    <w:rsid w:val="007804A8"/>
    <w:rsid w:val="00780BED"/>
    <w:rsid w:val="007829E5"/>
    <w:rsid w:val="00782EEA"/>
    <w:rsid w:val="00783E6D"/>
    <w:rsid w:val="00785E86"/>
    <w:rsid w:val="00792C52"/>
    <w:rsid w:val="00794646"/>
    <w:rsid w:val="00796AC3"/>
    <w:rsid w:val="007973FC"/>
    <w:rsid w:val="007A32B9"/>
    <w:rsid w:val="007A7605"/>
    <w:rsid w:val="007B3865"/>
    <w:rsid w:val="007B3DCA"/>
    <w:rsid w:val="007B493C"/>
    <w:rsid w:val="007C0FA7"/>
    <w:rsid w:val="007C59BB"/>
    <w:rsid w:val="007C5E40"/>
    <w:rsid w:val="007D1244"/>
    <w:rsid w:val="007E0394"/>
    <w:rsid w:val="007E05A7"/>
    <w:rsid w:val="007E3FDF"/>
    <w:rsid w:val="007E4698"/>
    <w:rsid w:val="007E71E1"/>
    <w:rsid w:val="007E7D2D"/>
    <w:rsid w:val="007F101F"/>
    <w:rsid w:val="007F31BC"/>
    <w:rsid w:val="007F3478"/>
    <w:rsid w:val="007F46C9"/>
    <w:rsid w:val="007F5152"/>
    <w:rsid w:val="007F5BBD"/>
    <w:rsid w:val="007F7F50"/>
    <w:rsid w:val="0080715F"/>
    <w:rsid w:val="00807CDD"/>
    <w:rsid w:val="00810B9D"/>
    <w:rsid w:val="00813FF8"/>
    <w:rsid w:val="0081458C"/>
    <w:rsid w:val="00814795"/>
    <w:rsid w:val="008156C5"/>
    <w:rsid w:val="00816F6D"/>
    <w:rsid w:val="00820D62"/>
    <w:rsid w:val="008215A0"/>
    <w:rsid w:val="00824DC7"/>
    <w:rsid w:val="008259AD"/>
    <w:rsid w:val="00825AB3"/>
    <w:rsid w:val="008265A1"/>
    <w:rsid w:val="0082735D"/>
    <w:rsid w:val="008277FB"/>
    <w:rsid w:val="00830EDA"/>
    <w:rsid w:val="008327BE"/>
    <w:rsid w:val="00834839"/>
    <w:rsid w:val="008351C1"/>
    <w:rsid w:val="0083602E"/>
    <w:rsid w:val="0084028F"/>
    <w:rsid w:val="0084283F"/>
    <w:rsid w:val="00847F4F"/>
    <w:rsid w:val="008510BC"/>
    <w:rsid w:val="008518D1"/>
    <w:rsid w:val="00851B59"/>
    <w:rsid w:val="00851C61"/>
    <w:rsid w:val="00854D00"/>
    <w:rsid w:val="00857145"/>
    <w:rsid w:val="00860ABD"/>
    <w:rsid w:val="00862D0D"/>
    <w:rsid w:val="0087186E"/>
    <w:rsid w:val="00871D2C"/>
    <w:rsid w:val="0087599A"/>
    <w:rsid w:val="00881EEA"/>
    <w:rsid w:val="008835B0"/>
    <w:rsid w:val="00883883"/>
    <w:rsid w:val="00884CCD"/>
    <w:rsid w:val="0088500F"/>
    <w:rsid w:val="008855AE"/>
    <w:rsid w:val="00885EFD"/>
    <w:rsid w:val="00891C65"/>
    <w:rsid w:val="008929DE"/>
    <w:rsid w:val="00892B94"/>
    <w:rsid w:val="00892D34"/>
    <w:rsid w:val="00894E83"/>
    <w:rsid w:val="00895756"/>
    <w:rsid w:val="00896C84"/>
    <w:rsid w:val="00897F71"/>
    <w:rsid w:val="008A08E7"/>
    <w:rsid w:val="008A7001"/>
    <w:rsid w:val="008B010B"/>
    <w:rsid w:val="008B0672"/>
    <w:rsid w:val="008B3A56"/>
    <w:rsid w:val="008C1A38"/>
    <w:rsid w:val="008C7113"/>
    <w:rsid w:val="008D08C9"/>
    <w:rsid w:val="008D3374"/>
    <w:rsid w:val="008D4981"/>
    <w:rsid w:val="008D4F18"/>
    <w:rsid w:val="008D5F9D"/>
    <w:rsid w:val="008D5FC4"/>
    <w:rsid w:val="008E46EB"/>
    <w:rsid w:val="008E5CB7"/>
    <w:rsid w:val="008E70BF"/>
    <w:rsid w:val="008E7B8A"/>
    <w:rsid w:val="008F183D"/>
    <w:rsid w:val="008F3D58"/>
    <w:rsid w:val="008F7FAA"/>
    <w:rsid w:val="00901270"/>
    <w:rsid w:val="009111B9"/>
    <w:rsid w:val="00912630"/>
    <w:rsid w:val="00914B61"/>
    <w:rsid w:val="00916EAC"/>
    <w:rsid w:val="0092431C"/>
    <w:rsid w:val="00926C2C"/>
    <w:rsid w:val="00930E64"/>
    <w:rsid w:val="009347FC"/>
    <w:rsid w:val="00934B3F"/>
    <w:rsid w:val="00934E1E"/>
    <w:rsid w:val="0093702D"/>
    <w:rsid w:val="0093726A"/>
    <w:rsid w:val="00943035"/>
    <w:rsid w:val="00944BA9"/>
    <w:rsid w:val="00952D19"/>
    <w:rsid w:val="00955078"/>
    <w:rsid w:val="0095756B"/>
    <w:rsid w:val="009600FE"/>
    <w:rsid w:val="00963797"/>
    <w:rsid w:val="0096522D"/>
    <w:rsid w:val="00965F8E"/>
    <w:rsid w:val="00966493"/>
    <w:rsid w:val="0097373C"/>
    <w:rsid w:val="00975148"/>
    <w:rsid w:val="0097611E"/>
    <w:rsid w:val="009823FE"/>
    <w:rsid w:val="0098397E"/>
    <w:rsid w:val="009842E4"/>
    <w:rsid w:val="009854EF"/>
    <w:rsid w:val="00986005"/>
    <w:rsid w:val="00986838"/>
    <w:rsid w:val="00987A91"/>
    <w:rsid w:val="00992C0C"/>
    <w:rsid w:val="00993056"/>
    <w:rsid w:val="0099434B"/>
    <w:rsid w:val="009944A7"/>
    <w:rsid w:val="009A03A4"/>
    <w:rsid w:val="009A1A45"/>
    <w:rsid w:val="009B06DB"/>
    <w:rsid w:val="009B06F4"/>
    <w:rsid w:val="009B1A83"/>
    <w:rsid w:val="009B2CFF"/>
    <w:rsid w:val="009B5A8F"/>
    <w:rsid w:val="009B72C2"/>
    <w:rsid w:val="009C3B42"/>
    <w:rsid w:val="009C519E"/>
    <w:rsid w:val="009D0D88"/>
    <w:rsid w:val="009D2EA2"/>
    <w:rsid w:val="009D313D"/>
    <w:rsid w:val="009D37DF"/>
    <w:rsid w:val="009D4F77"/>
    <w:rsid w:val="009D6C0B"/>
    <w:rsid w:val="009E49BD"/>
    <w:rsid w:val="009E6DCE"/>
    <w:rsid w:val="009F38D3"/>
    <w:rsid w:val="009F6EE4"/>
    <w:rsid w:val="009F6F04"/>
    <w:rsid w:val="00A000CD"/>
    <w:rsid w:val="00A024F2"/>
    <w:rsid w:val="00A041FF"/>
    <w:rsid w:val="00A05F2F"/>
    <w:rsid w:val="00A06EC1"/>
    <w:rsid w:val="00A1137A"/>
    <w:rsid w:val="00A11AEF"/>
    <w:rsid w:val="00A11F9A"/>
    <w:rsid w:val="00A125C1"/>
    <w:rsid w:val="00A14ADD"/>
    <w:rsid w:val="00A152EA"/>
    <w:rsid w:val="00A15D5E"/>
    <w:rsid w:val="00A20B1E"/>
    <w:rsid w:val="00A24206"/>
    <w:rsid w:val="00A25372"/>
    <w:rsid w:val="00A2538A"/>
    <w:rsid w:val="00A25611"/>
    <w:rsid w:val="00A265E5"/>
    <w:rsid w:val="00A27A21"/>
    <w:rsid w:val="00A30CEA"/>
    <w:rsid w:val="00A31798"/>
    <w:rsid w:val="00A31E90"/>
    <w:rsid w:val="00A32421"/>
    <w:rsid w:val="00A42F54"/>
    <w:rsid w:val="00A430D0"/>
    <w:rsid w:val="00A43257"/>
    <w:rsid w:val="00A4575C"/>
    <w:rsid w:val="00A45E21"/>
    <w:rsid w:val="00A47D0F"/>
    <w:rsid w:val="00A47DDA"/>
    <w:rsid w:val="00A52A08"/>
    <w:rsid w:val="00A53147"/>
    <w:rsid w:val="00A5446B"/>
    <w:rsid w:val="00A62990"/>
    <w:rsid w:val="00A65245"/>
    <w:rsid w:val="00A658F7"/>
    <w:rsid w:val="00A664F0"/>
    <w:rsid w:val="00A66DE4"/>
    <w:rsid w:val="00A72AEA"/>
    <w:rsid w:val="00A73D81"/>
    <w:rsid w:val="00A74659"/>
    <w:rsid w:val="00A74754"/>
    <w:rsid w:val="00A8222E"/>
    <w:rsid w:val="00A82C96"/>
    <w:rsid w:val="00A84B91"/>
    <w:rsid w:val="00A909BA"/>
    <w:rsid w:val="00A9179E"/>
    <w:rsid w:val="00A93C1F"/>
    <w:rsid w:val="00A96D9E"/>
    <w:rsid w:val="00A97106"/>
    <w:rsid w:val="00AA0B0E"/>
    <w:rsid w:val="00AA1A7C"/>
    <w:rsid w:val="00AA2916"/>
    <w:rsid w:val="00AA5FC4"/>
    <w:rsid w:val="00AA6AD9"/>
    <w:rsid w:val="00AB154D"/>
    <w:rsid w:val="00AB1C84"/>
    <w:rsid w:val="00AB2DF2"/>
    <w:rsid w:val="00AB625E"/>
    <w:rsid w:val="00AB7ECE"/>
    <w:rsid w:val="00AC15C1"/>
    <w:rsid w:val="00AC3837"/>
    <w:rsid w:val="00AC51B8"/>
    <w:rsid w:val="00AC54B4"/>
    <w:rsid w:val="00AC5654"/>
    <w:rsid w:val="00AC6B09"/>
    <w:rsid w:val="00AC6FF7"/>
    <w:rsid w:val="00AD04A0"/>
    <w:rsid w:val="00AD0F2B"/>
    <w:rsid w:val="00AD0F65"/>
    <w:rsid w:val="00AD338D"/>
    <w:rsid w:val="00AD6ED5"/>
    <w:rsid w:val="00AE050C"/>
    <w:rsid w:val="00AE362C"/>
    <w:rsid w:val="00AE44D3"/>
    <w:rsid w:val="00AE6137"/>
    <w:rsid w:val="00AE7B99"/>
    <w:rsid w:val="00AF16C7"/>
    <w:rsid w:val="00AF25D9"/>
    <w:rsid w:val="00AF36D1"/>
    <w:rsid w:val="00AF487D"/>
    <w:rsid w:val="00AF48D4"/>
    <w:rsid w:val="00AF4AEA"/>
    <w:rsid w:val="00AF66C1"/>
    <w:rsid w:val="00AF7A09"/>
    <w:rsid w:val="00AF7D0B"/>
    <w:rsid w:val="00AF7F17"/>
    <w:rsid w:val="00B02336"/>
    <w:rsid w:val="00B13C4E"/>
    <w:rsid w:val="00B166BB"/>
    <w:rsid w:val="00B16DEE"/>
    <w:rsid w:val="00B21962"/>
    <w:rsid w:val="00B25E6D"/>
    <w:rsid w:val="00B27766"/>
    <w:rsid w:val="00B27825"/>
    <w:rsid w:val="00B303ED"/>
    <w:rsid w:val="00B30CB0"/>
    <w:rsid w:val="00B30CF7"/>
    <w:rsid w:val="00B31010"/>
    <w:rsid w:val="00B3179B"/>
    <w:rsid w:val="00B35463"/>
    <w:rsid w:val="00B35B61"/>
    <w:rsid w:val="00B36CB5"/>
    <w:rsid w:val="00B37F93"/>
    <w:rsid w:val="00B405D7"/>
    <w:rsid w:val="00B41E8A"/>
    <w:rsid w:val="00B43161"/>
    <w:rsid w:val="00B43664"/>
    <w:rsid w:val="00B4632A"/>
    <w:rsid w:val="00B46805"/>
    <w:rsid w:val="00B4699F"/>
    <w:rsid w:val="00B47E4D"/>
    <w:rsid w:val="00B5121D"/>
    <w:rsid w:val="00B54486"/>
    <w:rsid w:val="00B54E2C"/>
    <w:rsid w:val="00B55889"/>
    <w:rsid w:val="00B57214"/>
    <w:rsid w:val="00B6525F"/>
    <w:rsid w:val="00B65A9D"/>
    <w:rsid w:val="00B71A01"/>
    <w:rsid w:val="00B74586"/>
    <w:rsid w:val="00B757B1"/>
    <w:rsid w:val="00B764F8"/>
    <w:rsid w:val="00B7726A"/>
    <w:rsid w:val="00B83119"/>
    <w:rsid w:val="00B91C06"/>
    <w:rsid w:val="00B923BC"/>
    <w:rsid w:val="00B97105"/>
    <w:rsid w:val="00BA191C"/>
    <w:rsid w:val="00BA1F12"/>
    <w:rsid w:val="00BA3B7A"/>
    <w:rsid w:val="00BA5686"/>
    <w:rsid w:val="00BB30D3"/>
    <w:rsid w:val="00BB61FF"/>
    <w:rsid w:val="00BB74CA"/>
    <w:rsid w:val="00BC1993"/>
    <w:rsid w:val="00BC2269"/>
    <w:rsid w:val="00BC2E7D"/>
    <w:rsid w:val="00BC34F8"/>
    <w:rsid w:val="00BC3671"/>
    <w:rsid w:val="00BD09E5"/>
    <w:rsid w:val="00BD6D33"/>
    <w:rsid w:val="00BE36D6"/>
    <w:rsid w:val="00BE3EF2"/>
    <w:rsid w:val="00BE58C3"/>
    <w:rsid w:val="00BE7765"/>
    <w:rsid w:val="00BF0E1D"/>
    <w:rsid w:val="00BF2F0A"/>
    <w:rsid w:val="00BF323C"/>
    <w:rsid w:val="00BF5C84"/>
    <w:rsid w:val="00BF7497"/>
    <w:rsid w:val="00C04425"/>
    <w:rsid w:val="00C04F5C"/>
    <w:rsid w:val="00C07968"/>
    <w:rsid w:val="00C1023B"/>
    <w:rsid w:val="00C10A7E"/>
    <w:rsid w:val="00C10D2B"/>
    <w:rsid w:val="00C11106"/>
    <w:rsid w:val="00C13A80"/>
    <w:rsid w:val="00C157ED"/>
    <w:rsid w:val="00C15DA0"/>
    <w:rsid w:val="00C20259"/>
    <w:rsid w:val="00C275FC"/>
    <w:rsid w:val="00C30172"/>
    <w:rsid w:val="00C41DCF"/>
    <w:rsid w:val="00C42940"/>
    <w:rsid w:val="00C4427E"/>
    <w:rsid w:val="00C45BD3"/>
    <w:rsid w:val="00C469AE"/>
    <w:rsid w:val="00C53A66"/>
    <w:rsid w:val="00C53D89"/>
    <w:rsid w:val="00C56920"/>
    <w:rsid w:val="00C61987"/>
    <w:rsid w:val="00C651CF"/>
    <w:rsid w:val="00C6543B"/>
    <w:rsid w:val="00C65C28"/>
    <w:rsid w:val="00C6605B"/>
    <w:rsid w:val="00C67852"/>
    <w:rsid w:val="00C67A6E"/>
    <w:rsid w:val="00C707BC"/>
    <w:rsid w:val="00C71275"/>
    <w:rsid w:val="00C73497"/>
    <w:rsid w:val="00C735E7"/>
    <w:rsid w:val="00C75D48"/>
    <w:rsid w:val="00C770FE"/>
    <w:rsid w:val="00C846DF"/>
    <w:rsid w:val="00C8482A"/>
    <w:rsid w:val="00C859AE"/>
    <w:rsid w:val="00C90345"/>
    <w:rsid w:val="00C908ED"/>
    <w:rsid w:val="00C9342D"/>
    <w:rsid w:val="00C95050"/>
    <w:rsid w:val="00C95DD4"/>
    <w:rsid w:val="00CA0596"/>
    <w:rsid w:val="00CA2541"/>
    <w:rsid w:val="00CB1925"/>
    <w:rsid w:val="00CB201F"/>
    <w:rsid w:val="00CB2F19"/>
    <w:rsid w:val="00CC0223"/>
    <w:rsid w:val="00CC0661"/>
    <w:rsid w:val="00CC0C93"/>
    <w:rsid w:val="00CC22E5"/>
    <w:rsid w:val="00CC364B"/>
    <w:rsid w:val="00CC5D8A"/>
    <w:rsid w:val="00CC6FEE"/>
    <w:rsid w:val="00CC7174"/>
    <w:rsid w:val="00CD0141"/>
    <w:rsid w:val="00CD08E9"/>
    <w:rsid w:val="00CD1EBC"/>
    <w:rsid w:val="00CD3BB8"/>
    <w:rsid w:val="00CE7FE2"/>
    <w:rsid w:val="00CF164D"/>
    <w:rsid w:val="00CF2E74"/>
    <w:rsid w:val="00CF5D51"/>
    <w:rsid w:val="00D0044F"/>
    <w:rsid w:val="00D02370"/>
    <w:rsid w:val="00D0358D"/>
    <w:rsid w:val="00D03E80"/>
    <w:rsid w:val="00D0731E"/>
    <w:rsid w:val="00D134CF"/>
    <w:rsid w:val="00D1435D"/>
    <w:rsid w:val="00D147F4"/>
    <w:rsid w:val="00D172B6"/>
    <w:rsid w:val="00D21945"/>
    <w:rsid w:val="00D23946"/>
    <w:rsid w:val="00D25076"/>
    <w:rsid w:val="00D30098"/>
    <w:rsid w:val="00D306C8"/>
    <w:rsid w:val="00D30DDC"/>
    <w:rsid w:val="00D31071"/>
    <w:rsid w:val="00D31ACA"/>
    <w:rsid w:val="00D31FF7"/>
    <w:rsid w:val="00D34E36"/>
    <w:rsid w:val="00D35A57"/>
    <w:rsid w:val="00D36641"/>
    <w:rsid w:val="00D36E68"/>
    <w:rsid w:val="00D42AD7"/>
    <w:rsid w:val="00D51EBE"/>
    <w:rsid w:val="00D52298"/>
    <w:rsid w:val="00D526EF"/>
    <w:rsid w:val="00D5766D"/>
    <w:rsid w:val="00D609A5"/>
    <w:rsid w:val="00D60B85"/>
    <w:rsid w:val="00D62DB0"/>
    <w:rsid w:val="00D62E75"/>
    <w:rsid w:val="00D67F74"/>
    <w:rsid w:val="00D778B5"/>
    <w:rsid w:val="00D77D00"/>
    <w:rsid w:val="00D8197B"/>
    <w:rsid w:val="00D82763"/>
    <w:rsid w:val="00D82BC2"/>
    <w:rsid w:val="00D84DF3"/>
    <w:rsid w:val="00D85A0E"/>
    <w:rsid w:val="00D86557"/>
    <w:rsid w:val="00D87883"/>
    <w:rsid w:val="00D927FC"/>
    <w:rsid w:val="00D9323E"/>
    <w:rsid w:val="00D937B3"/>
    <w:rsid w:val="00D961CA"/>
    <w:rsid w:val="00DB1078"/>
    <w:rsid w:val="00DB109E"/>
    <w:rsid w:val="00DB120D"/>
    <w:rsid w:val="00DB1EAF"/>
    <w:rsid w:val="00DB444B"/>
    <w:rsid w:val="00DB677C"/>
    <w:rsid w:val="00DC3B91"/>
    <w:rsid w:val="00DC435F"/>
    <w:rsid w:val="00DC5B96"/>
    <w:rsid w:val="00DC7363"/>
    <w:rsid w:val="00DC7EEC"/>
    <w:rsid w:val="00DD075B"/>
    <w:rsid w:val="00DD7200"/>
    <w:rsid w:val="00DD73CD"/>
    <w:rsid w:val="00DE4954"/>
    <w:rsid w:val="00DE5A72"/>
    <w:rsid w:val="00DF0A28"/>
    <w:rsid w:val="00DF2C27"/>
    <w:rsid w:val="00E02A2C"/>
    <w:rsid w:val="00E05B86"/>
    <w:rsid w:val="00E05C1F"/>
    <w:rsid w:val="00E1489A"/>
    <w:rsid w:val="00E16489"/>
    <w:rsid w:val="00E209C2"/>
    <w:rsid w:val="00E20DE3"/>
    <w:rsid w:val="00E2199A"/>
    <w:rsid w:val="00E2202D"/>
    <w:rsid w:val="00E22AF5"/>
    <w:rsid w:val="00E2403B"/>
    <w:rsid w:val="00E24392"/>
    <w:rsid w:val="00E264D0"/>
    <w:rsid w:val="00E26885"/>
    <w:rsid w:val="00E272D4"/>
    <w:rsid w:val="00E307DE"/>
    <w:rsid w:val="00E31B56"/>
    <w:rsid w:val="00E32021"/>
    <w:rsid w:val="00E32321"/>
    <w:rsid w:val="00E34196"/>
    <w:rsid w:val="00E34A41"/>
    <w:rsid w:val="00E35A3A"/>
    <w:rsid w:val="00E403E5"/>
    <w:rsid w:val="00E41F36"/>
    <w:rsid w:val="00E448AB"/>
    <w:rsid w:val="00E44A37"/>
    <w:rsid w:val="00E47D59"/>
    <w:rsid w:val="00E50D1B"/>
    <w:rsid w:val="00E51827"/>
    <w:rsid w:val="00E51AC9"/>
    <w:rsid w:val="00E55871"/>
    <w:rsid w:val="00E55D94"/>
    <w:rsid w:val="00E5607F"/>
    <w:rsid w:val="00E6162C"/>
    <w:rsid w:val="00E65EDF"/>
    <w:rsid w:val="00E66846"/>
    <w:rsid w:val="00E7008C"/>
    <w:rsid w:val="00E70CE4"/>
    <w:rsid w:val="00E72146"/>
    <w:rsid w:val="00E75A40"/>
    <w:rsid w:val="00E75F6A"/>
    <w:rsid w:val="00E76F4C"/>
    <w:rsid w:val="00E77E45"/>
    <w:rsid w:val="00E85B2B"/>
    <w:rsid w:val="00E85B7A"/>
    <w:rsid w:val="00E877EB"/>
    <w:rsid w:val="00E87F99"/>
    <w:rsid w:val="00E90931"/>
    <w:rsid w:val="00E91FE0"/>
    <w:rsid w:val="00E94D2C"/>
    <w:rsid w:val="00E95255"/>
    <w:rsid w:val="00EA22D8"/>
    <w:rsid w:val="00EA3366"/>
    <w:rsid w:val="00EA3F09"/>
    <w:rsid w:val="00EA5880"/>
    <w:rsid w:val="00EA6047"/>
    <w:rsid w:val="00EA69E8"/>
    <w:rsid w:val="00EB04CD"/>
    <w:rsid w:val="00EB0815"/>
    <w:rsid w:val="00EB3EE9"/>
    <w:rsid w:val="00EB6E57"/>
    <w:rsid w:val="00EB75FC"/>
    <w:rsid w:val="00EC219B"/>
    <w:rsid w:val="00EC430C"/>
    <w:rsid w:val="00EC4D25"/>
    <w:rsid w:val="00EC7868"/>
    <w:rsid w:val="00ED0763"/>
    <w:rsid w:val="00ED156A"/>
    <w:rsid w:val="00ED3F1B"/>
    <w:rsid w:val="00ED5A72"/>
    <w:rsid w:val="00EE0706"/>
    <w:rsid w:val="00EE4C25"/>
    <w:rsid w:val="00EE7C91"/>
    <w:rsid w:val="00EF0897"/>
    <w:rsid w:val="00EF500C"/>
    <w:rsid w:val="00EF5049"/>
    <w:rsid w:val="00EF59D6"/>
    <w:rsid w:val="00F00B2C"/>
    <w:rsid w:val="00F00BB6"/>
    <w:rsid w:val="00F02E65"/>
    <w:rsid w:val="00F04CD6"/>
    <w:rsid w:val="00F06723"/>
    <w:rsid w:val="00F12692"/>
    <w:rsid w:val="00F1775C"/>
    <w:rsid w:val="00F239D4"/>
    <w:rsid w:val="00F23FF8"/>
    <w:rsid w:val="00F2633F"/>
    <w:rsid w:val="00F26361"/>
    <w:rsid w:val="00F30D10"/>
    <w:rsid w:val="00F34C7B"/>
    <w:rsid w:val="00F37A06"/>
    <w:rsid w:val="00F401EB"/>
    <w:rsid w:val="00F40998"/>
    <w:rsid w:val="00F426B8"/>
    <w:rsid w:val="00F43ED0"/>
    <w:rsid w:val="00F443BA"/>
    <w:rsid w:val="00F4465F"/>
    <w:rsid w:val="00F44D46"/>
    <w:rsid w:val="00F477CB"/>
    <w:rsid w:val="00F477FB"/>
    <w:rsid w:val="00F47B95"/>
    <w:rsid w:val="00F5079D"/>
    <w:rsid w:val="00F5189E"/>
    <w:rsid w:val="00F52FDC"/>
    <w:rsid w:val="00F547D5"/>
    <w:rsid w:val="00F64059"/>
    <w:rsid w:val="00F65DF7"/>
    <w:rsid w:val="00F711B8"/>
    <w:rsid w:val="00F714D7"/>
    <w:rsid w:val="00F720B4"/>
    <w:rsid w:val="00F74CB9"/>
    <w:rsid w:val="00F77216"/>
    <w:rsid w:val="00F77AA8"/>
    <w:rsid w:val="00F80A9E"/>
    <w:rsid w:val="00F845E5"/>
    <w:rsid w:val="00F97776"/>
    <w:rsid w:val="00FA3F8D"/>
    <w:rsid w:val="00FA6206"/>
    <w:rsid w:val="00FB1B3E"/>
    <w:rsid w:val="00FB4B31"/>
    <w:rsid w:val="00FB522F"/>
    <w:rsid w:val="00FC0010"/>
    <w:rsid w:val="00FC11EB"/>
    <w:rsid w:val="00FC14D6"/>
    <w:rsid w:val="00FC3425"/>
    <w:rsid w:val="00FC4BFD"/>
    <w:rsid w:val="00FC51E0"/>
    <w:rsid w:val="00FC546C"/>
    <w:rsid w:val="00FC5E88"/>
    <w:rsid w:val="00FC73DD"/>
    <w:rsid w:val="00FD12AE"/>
    <w:rsid w:val="00FD3377"/>
    <w:rsid w:val="00FD5CCC"/>
    <w:rsid w:val="00FD6470"/>
    <w:rsid w:val="00FD655A"/>
    <w:rsid w:val="00FD71BC"/>
    <w:rsid w:val="00FD7418"/>
    <w:rsid w:val="00FE1634"/>
    <w:rsid w:val="00FE47E6"/>
    <w:rsid w:val="00FE6E9A"/>
    <w:rsid w:val="00FE75E4"/>
    <w:rsid w:val="00FF2C39"/>
    <w:rsid w:val="00FF3CAA"/>
    <w:rsid w:val="00FF65DD"/>
    <w:rsid w:val="00FF6AC2"/>
    <w:rsid w:val="00FF7A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12D3AE-9107-470C-BDD2-448222CA8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3B91"/>
    <w:pPr>
      <w:spacing w:after="0" w:line="240" w:lineRule="auto"/>
    </w:pPr>
    <w:rPr>
      <w:rFonts w:ascii="Times New Roman" w:eastAsia="Times New Roman" w:hAnsi="Times New Roman" w:cs="Times New Roman"/>
      <w:sz w:val="24"/>
      <w:szCs w:val="24"/>
    </w:rPr>
  </w:style>
  <w:style w:type="paragraph" w:styleId="Heading1">
    <w:name w:val="heading 1"/>
    <w:aliases w:val="H1,h1,Heading 1 3GPP"/>
    <w:next w:val="Normal"/>
    <w:link w:val="Heading1Char"/>
    <w:qFormat/>
    <w:rsid w:val="002229D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semiHidden/>
    <w:unhideWhenUsed/>
    <w:qFormat/>
    <w:rsid w:val="00860ABD"/>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73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
    <w:basedOn w:val="Normal"/>
    <w:link w:val="ListParagraphChar"/>
    <w:uiPriority w:val="34"/>
    <w:qFormat/>
    <w:rsid w:val="00DC3B91"/>
    <w:pPr>
      <w:ind w:left="720"/>
      <w:contextualSpacing/>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7003B8"/>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003B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003B8"/>
    <w:pPr>
      <w:tabs>
        <w:tab w:val="center" w:pos="4320"/>
        <w:tab w:val="right" w:pos="8640"/>
      </w:tabs>
    </w:pPr>
  </w:style>
  <w:style w:type="character" w:customStyle="1" w:styleId="FooterChar">
    <w:name w:val="Footer Char"/>
    <w:basedOn w:val="DefaultParagraphFont"/>
    <w:link w:val="Footer"/>
    <w:uiPriority w:val="99"/>
    <w:rsid w:val="007003B8"/>
    <w:rPr>
      <w:rFonts w:ascii="Times New Roman" w:eastAsia="Times New Roman" w:hAnsi="Times New Roman" w:cs="Times New Roman"/>
      <w:sz w:val="24"/>
      <w:szCs w:val="24"/>
    </w:rPr>
  </w:style>
  <w:style w:type="character" w:customStyle="1" w:styleId="Heading1Char">
    <w:name w:val="Heading 1 Char"/>
    <w:aliases w:val="H1 Char,h1 Char,Heading 1 3GPP Char"/>
    <w:basedOn w:val="DefaultParagraphFont"/>
    <w:link w:val="Heading1"/>
    <w:rsid w:val="002229D6"/>
    <w:rPr>
      <w:rFonts w:ascii="Arial" w:eastAsia="SimSun" w:hAnsi="Arial" w:cs="Times New Roman"/>
      <w:sz w:val="36"/>
      <w:szCs w:val="20"/>
      <w:lang w:val="en-GB" w:eastAsia="en-US"/>
    </w:rPr>
  </w:style>
  <w:style w:type="paragraph" w:customStyle="1" w:styleId="CRCoverPage">
    <w:name w:val="CR Cover Page"/>
    <w:rsid w:val="002229D6"/>
    <w:pPr>
      <w:spacing w:after="120" w:line="240" w:lineRule="auto"/>
    </w:pPr>
    <w:rPr>
      <w:rFonts w:ascii="Arial" w:eastAsia="MS Mincho" w:hAnsi="Arial" w:cs="Times New Roman"/>
      <w:sz w:val="20"/>
      <w:szCs w:val="20"/>
      <w:lang w:val="en-GB" w:eastAsia="en-US"/>
    </w:rPr>
  </w:style>
  <w:style w:type="paragraph" w:customStyle="1" w:styleId="Doc-text2">
    <w:name w:val="Doc-text2"/>
    <w:basedOn w:val="Normal"/>
    <w:link w:val="Doc-text2Char"/>
    <w:qFormat/>
    <w:rsid w:val="002229D6"/>
    <w:pPr>
      <w:tabs>
        <w:tab w:val="left" w:pos="1622"/>
      </w:tabs>
      <w:spacing w:after="160" w:line="259" w:lineRule="auto"/>
      <w:ind w:left="1622" w:hanging="363"/>
    </w:pPr>
    <w:rPr>
      <w:rFonts w:ascii="Arial" w:eastAsia="MS Mincho" w:hAnsi="Arial" w:cstheme="minorBidi"/>
      <w:sz w:val="20"/>
      <w:szCs w:val="22"/>
      <w:lang w:eastAsia="en-GB"/>
    </w:rPr>
  </w:style>
  <w:style w:type="character" w:customStyle="1" w:styleId="Doc-text2Char">
    <w:name w:val="Doc-text2 Char"/>
    <w:link w:val="Doc-text2"/>
    <w:rsid w:val="002229D6"/>
    <w:rPr>
      <w:rFonts w:ascii="Arial" w:eastAsia="MS Mincho" w:hAnsi="Arial"/>
      <w:sz w:val="20"/>
      <w:lang w:eastAsia="en-GB"/>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
    <w:link w:val="ListParagraph"/>
    <w:uiPriority w:val="34"/>
    <w:qFormat/>
    <w:locked/>
    <w:rsid w:val="002229D6"/>
    <w:rPr>
      <w:rFonts w:ascii="Times New Roman" w:eastAsia="Times New Roman" w:hAnsi="Times New Roman" w:cs="Times New Roman"/>
      <w:sz w:val="24"/>
      <w:szCs w:val="24"/>
    </w:rPr>
  </w:style>
  <w:style w:type="paragraph" w:customStyle="1" w:styleId="TAL">
    <w:name w:val="TAL"/>
    <w:basedOn w:val="Normal"/>
    <w:link w:val="TALChar"/>
    <w:rsid w:val="00240867"/>
    <w:pPr>
      <w:keepNext/>
      <w:keepLines/>
      <w:spacing w:after="160" w:line="259" w:lineRule="auto"/>
    </w:pPr>
    <w:rPr>
      <w:rFonts w:ascii="Arial" w:eastAsiaTheme="minorEastAsia" w:hAnsi="Arial" w:cstheme="minorBidi"/>
      <w:sz w:val="18"/>
      <w:szCs w:val="22"/>
      <w:lang w:eastAsia="zh-TW"/>
    </w:rPr>
  </w:style>
  <w:style w:type="paragraph" w:styleId="NormalWeb">
    <w:name w:val="Normal (Web)"/>
    <w:basedOn w:val="Normal"/>
    <w:uiPriority w:val="99"/>
    <w:unhideWhenUsed/>
    <w:rsid w:val="00240867"/>
    <w:pPr>
      <w:spacing w:before="75" w:after="75" w:line="259" w:lineRule="auto"/>
    </w:pPr>
    <w:rPr>
      <w:rFonts w:ascii="Arial" w:eastAsiaTheme="minorEastAsia" w:hAnsi="Arial" w:cs="Arial"/>
      <w:sz w:val="20"/>
      <w:szCs w:val="20"/>
      <w:lang w:eastAsia="zh-TW"/>
    </w:rPr>
  </w:style>
  <w:style w:type="character" w:customStyle="1" w:styleId="TALChar">
    <w:name w:val="TAL Char"/>
    <w:link w:val="TAL"/>
    <w:rsid w:val="00240867"/>
    <w:rPr>
      <w:rFonts w:ascii="Arial" w:hAnsi="Arial"/>
      <w:sz w:val="18"/>
      <w:lang w:eastAsia="zh-TW"/>
    </w:rPr>
  </w:style>
  <w:style w:type="paragraph" w:styleId="Caption">
    <w:name w:val="caption"/>
    <w:aliases w:val="cap"/>
    <w:basedOn w:val="Normal"/>
    <w:next w:val="Normal"/>
    <w:link w:val="CaptionChar"/>
    <w:qFormat/>
    <w:rsid w:val="00044F16"/>
    <w:pPr>
      <w:spacing w:before="120" w:after="120"/>
    </w:pPr>
    <w:rPr>
      <w:rFonts w:eastAsia="新細明體"/>
      <w:b/>
      <w:sz w:val="20"/>
      <w:szCs w:val="20"/>
      <w:lang w:val="en-GB" w:eastAsia="en-US"/>
    </w:rPr>
  </w:style>
  <w:style w:type="character" w:customStyle="1" w:styleId="CaptionChar">
    <w:name w:val="Caption Char"/>
    <w:aliases w:val="cap Char"/>
    <w:link w:val="Caption"/>
    <w:rsid w:val="00044F16"/>
    <w:rPr>
      <w:rFonts w:ascii="Times New Roman" w:eastAsia="新細明體" w:hAnsi="Times New Roman" w:cs="Times New Roman"/>
      <w:b/>
      <w:sz w:val="20"/>
      <w:szCs w:val="20"/>
      <w:lang w:val="en-GB" w:eastAsia="en-US"/>
    </w:rPr>
  </w:style>
  <w:style w:type="paragraph" w:customStyle="1" w:styleId="References">
    <w:name w:val="References"/>
    <w:basedOn w:val="Normal"/>
    <w:rsid w:val="001E78EB"/>
    <w:pPr>
      <w:numPr>
        <w:numId w:val="1"/>
      </w:numPr>
      <w:autoSpaceDE w:val="0"/>
      <w:autoSpaceDN w:val="0"/>
      <w:snapToGrid w:val="0"/>
      <w:spacing w:after="60"/>
      <w:jc w:val="both"/>
    </w:pPr>
    <w:rPr>
      <w:rFonts w:eastAsia="SimSun"/>
      <w:sz w:val="20"/>
      <w:szCs w:val="16"/>
      <w:lang w:eastAsia="en-US"/>
    </w:rPr>
  </w:style>
  <w:style w:type="character" w:customStyle="1" w:styleId="BodyTextChar">
    <w:name w:val="Body Text Char"/>
    <w:link w:val="BodyText"/>
    <w:qFormat/>
    <w:rsid w:val="00987A91"/>
    <w:rPr>
      <w:rFonts w:eastAsia="MS Mincho"/>
      <w:szCs w:val="24"/>
      <w:lang w:eastAsia="en-US"/>
    </w:rPr>
  </w:style>
  <w:style w:type="paragraph" w:styleId="BodyText">
    <w:name w:val="Body Text"/>
    <w:basedOn w:val="Normal"/>
    <w:link w:val="BodyTextChar"/>
    <w:qFormat/>
    <w:rsid w:val="00987A91"/>
    <w:pPr>
      <w:spacing w:after="120"/>
      <w:jc w:val="both"/>
    </w:pPr>
    <w:rPr>
      <w:rFonts w:asciiTheme="minorHAnsi" w:eastAsia="MS Mincho" w:hAnsiTheme="minorHAnsi" w:cstheme="minorBidi"/>
      <w:sz w:val="22"/>
      <w:lang w:eastAsia="en-US"/>
    </w:rPr>
  </w:style>
  <w:style w:type="character" w:customStyle="1" w:styleId="1">
    <w:name w:val="本文 字元1"/>
    <w:basedOn w:val="DefaultParagraphFont"/>
    <w:uiPriority w:val="99"/>
    <w:semiHidden/>
    <w:rsid w:val="00987A91"/>
    <w:rPr>
      <w:rFonts w:ascii="Times New Roman" w:eastAsia="Times New Roman" w:hAnsi="Times New Roman" w:cs="Times New Roman"/>
      <w:sz w:val="24"/>
      <w:szCs w:val="24"/>
    </w:rPr>
  </w:style>
  <w:style w:type="paragraph" w:customStyle="1" w:styleId="ZT">
    <w:name w:val="ZT"/>
    <w:rsid w:val="005D4EB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Comments">
    <w:name w:val="Comments"/>
    <w:basedOn w:val="Normal"/>
    <w:link w:val="CommentsChar"/>
    <w:qFormat/>
    <w:rsid w:val="003B2191"/>
    <w:pPr>
      <w:spacing w:before="40"/>
    </w:pPr>
    <w:rPr>
      <w:rFonts w:ascii="Arial" w:eastAsia="MS Mincho" w:hAnsi="Arial"/>
      <w:i/>
      <w:sz w:val="18"/>
      <w:lang w:val="en-GB" w:eastAsia="en-GB"/>
    </w:rPr>
  </w:style>
  <w:style w:type="character" w:customStyle="1" w:styleId="CommentsChar">
    <w:name w:val="Comments Char"/>
    <w:link w:val="Comments"/>
    <w:qFormat/>
    <w:rsid w:val="003B2191"/>
    <w:rPr>
      <w:rFonts w:ascii="Arial" w:eastAsia="MS Mincho" w:hAnsi="Arial" w:cs="Times New Roman"/>
      <w:i/>
      <w:sz w:val="18"/>
      <w:szCs w:val="24"/>
      <w:lang w:val="en-GB" w:eastAsia="en-GB"/>
    </w:rPr>
  </w:style>
  <w:style w:type="paragraph" w:customStyle="1" w:styleId="Default">
    <w:name w:val="Default"/>
    <w:rsid w:val="00EF089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2Char">
    <w:name w:val="Heading 2 Char"/>
    <w:basedOn w:val="DefaultParagraphFont"/>
    <w:link w:val="Heading2"/>
    <w:uiPriority w:val="9"/>
    <w:semiHidden/>
    <w:rsid w:val="00860ABD"/>
    <w:rPr>
      <w:rFonts w:asciiTheme="majorHAnsi" w:eastAsiaTheme="majorEastAsia" w:hAnsiTheme="majorHAnsi" w:cstheme="majorBidi"/>
      <w:color w:val="2E74B5" w:themeColor="accent1" w:themeShade="BF"/>
      <w:sz w:val="26"/>
      <w:szCs w:val="26"/>
    </w:rPr>
  </w:style>
  <w:style w:type="paragraph" w:customStyle="1" w:styleId="TAC">
    <w:name w:val="TAC"/>
    <w:basedOn w:val="Normal"/>
    <w:link w:val="TACChar"/>
    <w:rsid w:val="00860ABD"/>
    <w:pPr>
      <w:keepNext/>
      <w:keepLines/>
      <w:jc w:val="center"/>
    </w:pPr>
    <w:rPr>
      <w:rFonts w:ascii="Arial" w:hAnsi="Arial"/>
      <w:sz w:val="18"/>
      <w:szCs w:val="20"/>
      <w:lang w:val="en-GB" w:eastAsia="en-US"/>
    </w:rPr>
  </w:style>
  <w:style w:type="character" w:customStyle="1" w:styleId="TACChar">
    <w:name w:val="TAC Char"/>
    <w:link w:val="TAC"/>
    <w:locked/>
    <w:rsid w:val="00860ABD"/>
    <w:rPr>
      <w:rFonts w:ascii="Arial" w:eastAsia="Times New Roman" w:hAnsi="Arial" w:cs="Times New Roman"/>
      <w:sz w:val="18"/>
      <w:szCs w:val="20"/>
      <w:lang w:val="en-GB" w:eastAsia="en-US"/>
    </w:rPr>
  </w:style>
  <w:style w:type="paragraph" w:customStyle="1" w:styleId="TF">
    <w:name w:val="TF"/>
    <w:aliases w:val="left"/>
    <w:basedOn w:val="Normal"/>
    <w:link w:val="TFChar"/>
    <w:qFormat/>
    <w:rsid w:val="007E05A7"/>
    <w:pPr>
      <w:keepLines/>
      <w:spacing w:after="240" w:line="259" w:lineRule="auto"/>
      <w:jc w:val="center"/>
    </w:pPr>
    <w:rPr>
      <w:rFonts w:ascii="Arial" w:eastAsiaTheme="minorEastAsia" w:hAnsi="Arial" w:cstheme="minorBidi"/>
      <w:b/>
      <w:sz w:val="22"/>
      <w:szCs w:val="22"/>
      <w:lang w:eastAsia="zh-TW"/>
    </w:rPr>
  </w:style>
  <w:style w:type="character" w:customStyle="1" w:styleId="TFChar">
    <w:name w:val="TF Char"/>
    <w:link w:val="TF"/>
    <w:rsid w:val="007E05A7"/>
    <w:rPr>
      <w:rFonts w:ascii="Arial" w:hAnsi="Arial"/>
      <w:b/>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76891">
      <w:bodyDiv w:val="1"/>
      <w:marLeft w:val="0"/>
      <w:marRight w:val="0"/>
      <w:marTop w:val="0"/>
      <w:marBottom w:val="0"/>
      <w:divBdr>
        <w:top w:val="none" w:sz="0" w:space="0" w:color="auto"/>
        <w:left w:val="none" w:sz="0" w:space="0" w:color="auto"/>
        <w:bottom w:val="none" w:sz="0" w:space="0" w:color="auto"/>
        <w:right w:val="none" w:sz="0" w:space="0" w:color="auto"/>
      </w:divBdr>
      <w:divsChild>
        <w:div w:id="1865946067">
          <w:marLeft w:val="432"/>
          <w:marRight w:val="0"/>
          <w:marTop w:val="240"/>
          <w:marBottom w:val="0"/>
          <w:divBdr>
            <w:top w:val="none" w:sz="0" w:space="0" w:color="auto"/>
            <w:left w:val="none" w:sz="0" w:space="0" w:color="auto"/>
            <w:bottom w:val="none" w:sz="0" w:space="0" w:color="auto"/>
            <w:right w:val="none" w:sz="0" w:space="0" w:color="auto"/>
          </w:divBdr>
        </w:div>
      </w:divsChild>
    </w:div>
    <w:div w:id="60756171">
      <w:bodyDiv w:val="1"/>
      <w:marLeft w:val="0"/>
      <w:marRight w:val="0"/>
      <w:marTop w:val="0"/>
      <w:marBottom w:val="0"/>
      <w:divBdr>
        <w:top w:val="none" w:sz="0" w:space="0" w:color="auto"/>
        <w:left w:val="none" w:sz="0" w:space="0" w:color="auto"/>
        <w:bottom w:val="none" w:sz="0" w:space="0" w:color="auto"/>
        <w:right w:val="none" w:sz="0" w:space="0" w:color="auto"/>
      </w:divBdr>
    </w:div>
    <w:div w:id="105659627">
      <w:bodyDiv w:val="1"/>
      <w:marLeft w:val="0"/>
      <w:marRight w:val="0"/>
      <w:marTop w:val="0"/>
      <w:marBottom w:val="0"/>
      <w:divBdr>
        <w:top w:val="none" w:sz="0" w:space="0" w:color="auto"/>
        <w:left w:val="none" w:sz="0" w:space="0" w:color="auto"/>
        <w:bottom w:val="none" w:sz="0" w:space="0" w:color="auto"/>
        <w:right w:val="none" w:sz="0" w:space="0" w:color="auto"/>
      </w:divBdr>
    </w:div>
    <w:div w:id="167402412">
      <w:bodyDiv w:val="1"/>
      <w:marLeft w:val="0"/>
      <w:marRight w:val="0"/>
      <w:marTop w:val="0"/>
      <w:marBottom w:val="0"/>
      <w:divBdr>
        <w:top w:val="none" w:sz="0" w:space="0" w:color="auto"/>
        <w:left w:val="none" w:sz="0" w:space="0" w:color="auto"/>
        <w:bottom w:val="none" w:sz="0" w:space="0" w:color="auto"/>
        <w:right w:val="none" w:sz="0" w:space="0" w:color="auto"/>
      </w:divBdr>
    </w:div>
    <w:div w:id="250047617">
      <w:bodyDiv w:val="1"/>
      <w:marLeft w:val="0"/>
      <w:marRight w:val="0"/>
      <w:marTop w:val="0"/>
      <w:marBottom w:val="0"/>
      <w:divBdr>
        <w:top w:val="none" w:sz="0" w:space="0" w:color="auto"/>
        <w:left w:val="none" w:sz="0" w:space="0" w:color="auto"/>
        <w:bottom w:val="none" w:sz="0" w:space="0" w:color="auto"/>
        <w:right w:val="none" w:sz="0" w:space="0" w:color="auto"/>
      </w:divBdr>
    </w:div>
    <w:div w:id="315426719">
      <w:bodyDiv w:val="1"/>
      <w:marLeft w:val="0"/>
      <w:marRight w:val="0"/>
      <w:marTop w:val="0"/>
      <w:marBottom w:val="0"/>
      <w:divBdr>
        <w:top w:val="none" w:sz="0" w:space="0" w:color="auto"/>
        <w:left w:val="none" w:sz="0" w:space="0" w:color="auto"/>
        <w:bottom w:val="none" w:sz="0" w:space="0" w:color="auto"/>
        <w:right w:val="none" w:sz="0" w:space="0" w:color="auto"/>
      </w:divBdr>
    </w:div>
    <w:div w:id="328019444">
      <w:bodyDiv w:val="1"/>
      <w:marLeft w:val="0"/>
      <w:marRight w:val="0"/>
      <w:marTop w:val="0"/>
      <w:marBottom w:val="0"/>
      <w:divBdr>
        <w:top w:val="none" w:sz="0" w:space="0" w:color="auto"/>
        <w:left w:val="none" w:sz="0" w:space="0" w:color="auto"/>
        <w:bottom w:val="none" w:sz="0" w:space="0" w:color="auto"/>
        <w:right w:val="none" w:sz="0" w:space="0" w:color="auto"/>
      </w:divBdr>
    </w:div>
    <w:div w:id="383454627">
      <w:bodyDiv w:val="1"/>
      <w:marLeft w:val="0"/>
      <w:marRight w:val="0"/>
      <w:marTop w:val="0"/>
      <w:marBottom w:val="0"/>
      <w:divBdr>
        <w:top w:val="none" w:sz="0" w:space="0" w:color="auto"/>
        <w:left w:val="none" w:sz="0" w:space="0" w:color="auto"/>
        <w:bottom w:val="none" w:sz="0" w:space="0" w:color="auto"/>
        <w:right w:val="none" w:sz="0" w:space="0" w:color="auto"/>
      </w:divBdr>
    </w:div>
    <w:div w:id="384179147">
      <w:bodyDiv w:val="1"/>
      <w:marLeft w:val="0"/>
      <w:marRight w:val="0"/>
      <w:marTop w:val="0"/>
      <w:marBottom w:val="0"/>
      <w:divBdr>
        <w:top w:val="none" w:sz="0" w:space="0" w:color="auto"/>
        <w:left w:val="none" w:sz="0" w:space="0" w:color="auto"/>
        <w:bottom w:val="none" w:sz="0" w:space="0" w:color="auto"/>
        <w:right w:val="none" w:sz="0" w:space="0" w:color="auto"/>
      </w:divBdr>
      <w:divsChild>
        <w:div w:id="1351834363">
          <w:marLeft w:val="432"/>
          <w:marRight w:val="0"/>
          <w:marTop w:val="240"/>
          <w:marBottom w:val="0"/>
          <w:divBdr>
            <w:top w:val="none" w:sz="0" w:space="0" w:color="auto"/>
            <w:left w:val="none" w:sz="0" w:space="0" w:color="auto"/>
            <w:bottom w:val="none" w:sz="0" w:space="0" w:color="auto"/>
            <w:right w:val="none" w:sz="0" w:space="0" w:color="auto"/>
          </w:divBdr>
        </w:div>
        <w:div w:id="1163819763">
          <w:marLeft w:val="1267"/>
          <w:marRight w:val="0"/>
          <w:marTop w:val="180"/>
          <w:marBottom w:val="0"/>
          <w:divBdr>
            <w:top w:val="none" w:sz="0" w:space="0" w:color="auto"/>
            <w:left w:val="none" w:sz="0" w:space="0" w:color="auto"/>
            <w:bottom w:val="none" w:sz="0" w:space="0" w:color="auto"/>
            <w:right w:val="none" w:sz="0" w:space="0" w:color="auto"/>
          </w:divBdr>
        </w:div>
        <w:div w:id="1185361916">
          <w:marLeft w:val="1699"/>
          <w:marRight w:val="0"/>
          <w:marTop w:val="120"/>
          <w:marBottom w:val="0"/>
          <w:divBdr>
            <w:top w:val="none" w:sz="0" w:space="0" w:color="auto"/>
            <w:left w:val="none" w:sz="0" w:space="0" w:color="auto"/>
            <w:bottom w:val="none" w:sz="0" w:space="0" w:color="auto"/>
            <w:right w:val="none" w:sz="0" w:space="0" w:color="auto"/>
          </w:divBdr>
        </w:div>
        <w:div w:id="1300695261">
          <w:marLeft w:val="1987"/>
          <w:marRight w:val="0"/>
          <w:marTop w:val="100"/>
          <w:marBottom w:val="0"/>
          <w:divBdr>
            <w:top w:val="none" w:sz="0" w:space="0" w:color="auto"/>
            <w:left w:val="none" w:sz="0" w:space="0" w:color="auto"/>
            <w:bottom w:val="none" w:sz="0" w:space="0" w:color="auto"/>
            <w:right w:val="none" w:sz="0" w:space="0" w:color="auto"/>
          </w:divBdr>
        </w:div>
        <w:div w:id="98456815">
          <w:marLeft w:val="1699"/>
          <w:marRight w:val="0"/>
          <w:marTop w:val="120"/>
          <w:marBottom w:val="0"/>
          <w:divBdr>
            <w:top w:val="none" w:sz="0" w:space="0" w:color="auto"/>
            <w:left w:val="none" w:sz="0" w:space="0" w:color="auto"/>
            <w:bottom w:val="none" w:sz="0" w:space="0" w:color="auto"/>
            <w:right w:val="none" w:sz="0" w:space="0" w:color="auto"/>
          </w:divBdr>
        </w:div>
        <w:div w:id="901797921">
          <w:marLeft w:val="1267"/>
          <w:marRight w:val="0"/>
          <w:marTop w:val="180"/>
          <w:marBottom w:val="0"/>
          <w:divBdr>
            <w:top w:val="none" w:sz="0" w:space="0" w:color="auto"/>
            <w:left w:val="none" w:sz="0" w:space="0" w:color="auto"/>
            <w:bottom w:val="none" w:sz="0" w:space="0" w:color="auto"/>
            <w:right w:val="none" w:sz="0" w:space="0" w:color="auto"/>
          </w:divBdr>
        </w:div>
        <w:div w:id="1641423272">
          <w:marLeft w:val="1987"/>
          <w:marRight w:val="0"/>
          <w:marTop w:val="100"/>
          <w:marBottom w:val="0"/>
          <w:divBdr>
            <w:top w:val="none" w:sz="0" w:space="0" w:color="auto"/>
            <w:left w:val="none" w:sz="0" w:space="0" w:color="auto"/>
            <w:bottom w:val="none" w:sz="0" w:space="0" w:color="auto"/>
            <w:right w:val="none" w:sz="0" w:space="0" w:color="auto"/>
          </w:divBdr>
        </w:div>
        <w:div w:id="170267705">
          <w:marLeft w:val="1699"/>
          <w:marRight w:val="0"/>
          <w:marTop w:val="120"/>
          <w:marBottom w:val="0"/>
          <w:divBdr>
            <w:top w:val="none" w:sz="0" w:space="0" w:color="auto"/>
            <w:left w:val="none" w:sz="0" w:space="0" w:color="auto"/>
            <w:bottom w:val="none" w:sz="0" w:space="0" w:color="auto"/>
            <w:right w:val="none" w:sz="0" w:space="0" w:color="auto"/>
          </w:divBdr>
        </w:div>
        <w:div w:id="1601834372">
          <w:marLeft w:val="1987"/>
          <w:marRight w:val="0"/>
          <w:marTop w:val="100"/>
          <w:marBottom w:val="0"/>
          <w:divBdr>
            <w:top w:val="none" w:sz="0" w:space="0" w:color="auto"/>
            <w:left w:val="none" w:sz="0" w:space="0" w:color="auto"/>
            <w:bottom w:val="none" w:sz="0" w:space="0" w:color="auto"/>
            <w:right w:val="none" w:sz="0" w:space="0" w:color="auto"/>
          </w:divBdr>
        </w:div>
        <w:div w:id="2030567851">
          <w:marLeft w:val="2261"/>
          <w:marRight w:val="0"/>
          <w:marTop w:val="100"/>
          <w:marBottom w:val="0"/>
          <w:divBdr>
            <w:top w:val="none" w:sz="0" w:space="0" w:color="auto"/>
            <w:left w:val="none" w:sz="0" w:space="0" w:color="auto"/>
            <w:bottom w:val="none" w:sz="0" w:space="0" w:color="auto"/>
            <w:right w:val="none" w:sz="0" w:space="0" w:color="auto"/>
          </w:divBdr>
        </w:div>
      </w:divsChild>
    </w:div>
    <w:div w:id="416446685">
      <w:bodyDiv w:val="1"/>
      <w:marLeft w:val="0"/>
      <w:marRight w:val="0"/>
      <w:marTop w:val="0"/>
      <w:marBottom w:val="0"/>
      <w:divBdr>
        <w:top w:val="none" w:sz="0" w:space="0" w:color="auto"/>
        <w:left w:val="none" w:sz="0" w:space="0" w:color="auto"/>
        <w:bottom w:val="none" w:sz="0" w:space="0" w:color="auto"/>
        <w:right w:val="none" w:sz="0" w:space="0" w:color="auto"/>
      </w:divBdr>
    </w:div>
    <w:div w:id="422844072">
      <w:bodyDiv w:val="1"/>
      <w:marLeft w:val="0"/>
      <w:marRight w:val="0"/>
      <w:marTop w:val="0"/>
      <w:marBottom w:val="0"/>
      <w:divBdr>
        <w:top w:val="none" w:sz="0" w:space="0" w:color="auto"/>
        <w:left w:val="none" w:sz="0" w:space="0" w:color="auto"/>
        <w:bottom w:val="none" w:sz="0" w:space="0" w:color="auto"/>
        <w:right w:val="none" w:sz="0" w:space="0" w:color="auto"/>
      </w:divBdr>
      <w:divsChild>
        <w:div w:id="593800">
          <w:marLeft w:val="446"/>
          <w:marRight w:val="0"/>
          <w:marTop w:val="0"/>
          <w:marBottom w:val="0"/>
          <w:divBdr>
            <w:top w:val="none" w:sz="0" w:space="0" w:color="auto"/>
            <w:left w:val="none" w:sz="0" w:space="0" w:color="auto"/>
            <w:bottom w:val="none" w:sz="0" w:space="0" w:color="auto"/>
            <w:right w:val="none" w:sz="0" w:space="0" w:color="auto"/>
          </w:divBdr>
        </w:div>
        <w:div w:id="1509759442">
          <w:marLeft w:val="446"/>
          <w:marRight w:val="0"/>
          <w:marTop w:val="0"/>
          <w:marBottom w:val="0"/>
          <w:divBdr>
            <w:top w:val="none" w:sz="0" w:space="0" w:color="auto"/>
            <w:left w:val="none" w:sz="0" w:space="0" w:color="auto"/>
            <w:bottom w:val="none" w:sz="0" w:space="0" w:color="auto"/>
            <w:right w:val="none" w:sz="0" w:space="0" w:color="auto"/>
          </w:divBdr>
        </w:div>
      </w:divsChild>
    </w:div>
    <w:div w:id="427123072">
      <w:bodyDiv w:val="1"/>
      <w:marLeft w:val="0"/>
      <w:marRight w:val="0"/>
      <w:marTop w:val="0"/>
      <w:marBottom w:val="0"/>
      <w:divBdr>
        <w:top w:val="none" w:sz="0" w:space="0" w:color="auto"/>
        <w:left w:val="none" w:sz="0" w:space="0" w:color="auto"/>
        <w:bottom w:val="none" w:sz="0" w:space="0" w:color="auto"/>
        <w:right w:val="none" w:sz="0" w:space="0" w:color="auto"/>
      </w:divBdr>
    </w:div>
    <w:div w:id="561257392">
      <w:bodyDiv w:val="1"/>
      <w:marLeft w:val="0"/>
      <w:marRight w:val="0"/>
      <w:marTop w:val="0"/>
      <w:marBottom w:val="0"/>
      <w:divBdr>
        <w:top w:val="none" w:sz="0" w:space="0" w:color="auto"/>
        <w:left w:val="none" w:sz="0" w:space="0" w:color="auto"/>
        <w:bottom w:val="none" w:sz="0" w:space="0" w:color="auto"/>
        <w:right w:val="none" w:sz="0" w:space="0" w:color="auto"/>
      </w:divBdr>
    </w:div>
    <w:div w:id="650406132">
      <w:bodyDiv w:val="1"/>
      <w:marLeft w:val="0"/>
      <w:marRight w:val="0"/>
      <w:marTop w:val="0"/>
      <w:marBottom w:val="0"/>
      <w:divBdr>
        <w:top w:val="none" w:sz="0" w:space="0" w:color="auto"/>
        <w:left w:val="none" w:sz="0" w:space="0" w:color="auto"/>
        <w:bottom w:val="none" w:sz="0" w:space="0" w:color="auto"/>
        <w:right w:val="none" w:sz="0" w:space="0" w:color="auto"/>
      </w:divBdr>
    </w:div>
    <w:div w:id="750851970">
      <w:bodyDiv w:val="1"/>
      <w:marLeft w:val="0"/>
      <w:marRight w:val="0"/>
      <w:marTop w:val="0"/>
      <w:marBottom w:val="0"/>
      <w:divBdr>
        <w:top w:val="none" w:sz="0" w:space="0" w:color="auto"/>
        <w:left w:val="none" w:sz="0" w:space="0" w:color="auto"/>
        <w:bottom w:val="none" w:sz="0" w:space="0" w:color="auto"/>
        <w:right w:val="none" w:sz="0" w:space="0" w:color="auto"/>
      </w:divBdr>
      <w:divsChild>
        <w:div w:id="100075535">
          <w:marLeft w:val="432"/>
          <w:marRight w:val="0"/>
          <w:marTop w:val="240"/>
          <w:marBottom w:val="0"/>
          <w:divBdr>
            <w:top w:val="none" w:sz="0" w:space="0" w:color="auto"/>
            <w:left w:val="none" w:sz="0" w:space="0" w:color="auto"/>
            <w:bottom w:val="none" w:sz="0" w:space="0" w:color="auto"/>
            <w:right w:val="none" w:sz="0" w:space="0" w:color="auto"/>
          </w:divBdr>
        </w:div>
      </w:divsChild>
    </w:div>
    <w:div w:id="785466819">
      <w:bodyDiv w:val="1"/>
      <w:marLeft w:val="0"/>
      <w:marRight w:val="0"/>
      <w:marTop w:val="0"/>
      <w:marBottom w:val="0"/>
      <w:divBdr>
        <w:top w:val="none" w:sz="0" w:space="0" w:color="auto"/>
        <w:left w:val="none" w:sz="0" w:space="0" w:color="auto"/>
        <w:bottom w:val="none" w:sz="0" w:space="0" w:color="auto"/>
        <w:right w:val="none" w:sz="0" w:space="0" w:color="auto"/>
      </w:divBdr>
      <w:divsChild>
        <w:div w:id="2061126983">
          <w:marLeft w:val="432"/>
          <w:marRight w:val="0"/>
          <w:marTop w:val="240"/>
          <w:marBottom w:val="0"/>
          <w:divBdr>
            <w:top w:val="none" w:sz="0" w:space="0" w:color="auto"/>
            <w:left w:val="none" w:sz="0" w:space="0" w:color="auto"/>
            <w:bottom w:val="none" w:sz="0" w:space="0" w:color="auto"/>
            <w:right w:val="none" w:sz="0" w:space="0" w:color="auto"/>
          </w:divBdr>
        </w:div>
      </w:divsChild>
    </w:div>
    <w:div w:id="826941103">
      <w:bodyDiv w:val="1"/>
      <w:marLeft w:val="0"/>
      <w:marRight w:val="0"/>
      <w:marTop w:val="0"/>
      <w:marBottom w:val="0"/>
      <w:divBdr>
        <w:top w:val="none" w:sz="0" w:space="0" w:color="auto"/>
        <w:left w:val="none" w:sz="0" w:space="0" w:color="auto"/>
        <w:bottom w:val="none" w:sz="0" w:space="0" w:color="auto"/>
        <w:right w:val="none" w:sz="0" w:space="0" w:color="auto"/>
      </w:divBdr>
      <w:divsChild>
        <w:div w:id="1465998977">
          <w:marLeft w:val="432"/>
          <w:marRight w:val="0"/>
          <w:marTop w:val="240"/>
          <w:marBottom w:val="0"/>
          <w:divBdr>
            <w:top w:val="none" w:sz="0" w:space="0" w:color="auto"/>
            <w:left w:val="none" w:sz="0" w:space="0" w:color="auto"/>
            <w:bottom w:val="none" w:sz="0" w:space="0" w:color="auto"/>
            <w:right w:val="none" w:sz="0" w:space="0" w:color="auto"/>
          </w:divBdr>
        </w:div>
      </w:divsChild>
    </w:div>
    <w:div w:id="928080911">
      <w:bodyDiv w:val="1"/>
      <w:marLeft w:val="0"/>
      <w:marRight w:val="0"/>
      <w:marTop w:val="0"/>
      <w:marBottom w:val="0"/>
      <w:divBdr>
        <w:top w:val="none" w:sz="0" w:space="0" w:color="auto"/>
        <w:left w:val="none" w:sz="0" w:space="0" w:color="auto"/>
        <w:bottom w:val="none" w:sz="0" w:space="0" w:color="auto"/>
        <w:right w:val="none" w:sz="0" w:space="0" w:color="auto"/>
      </w:divBdr>
      <w:divsChild>
        <w:div w:id="1091241993">
          <w:marLeft w:val="1987"/>
          <w:marRight w:val="0"/>
          <w:marTop w:val="100"/>
          <w:marBottom w:val="0"/>
          <w:divBdr>
            <w:top w:val="none" w:sz="0" w:space="0" w:color="auto"/>
            <w:left w:val="none" w:sz="0" w:space="0" w:color="auto"/>
            <w:bottom w:val="none" w:sz="0" w:space="0" w:color="auto"/>
            <w:right w:val="none" w:sz="0" w:space="0" w:color="auto"/>
          </w:divBdr>
        </w:div>
        <w:div w:id="71052946">
          <w:marLeft w:val="2261"/>
          <w:marRight w:val="0"/>
          <w:marTop w:val="100"/>
          <w:marBottom w:val="0"/>
          <w:divBdr>
            <w:top w:val="none" w:sz="0" w:space="0" w:color="auto"/>
            <w:left w:val="none" w:sz="0" w:space="0" w:color="auto"/>
            <w:bottom w:val="none" w:sz="0" w:space="0" w:color="auto"/>
            <w:right w:val="none" w:sz="0" w:space="0" w:color="auto"/>
          </w:divBdr>
        </w:div>
      </w:divsChild>
    </w:div>
    <w:div w:id="939676311">
      <w:bodyDiv w:val="1"/>
      <w:marLeft w:val="0"/>
      <w:marRight w:val="0"/>
      <w:marTop w:val="0"/>
      <w:marBottom w:val="0"/>
      <w:divBdr>
        <w:top w:val="none" w:sz="0" w:space="0" w:color="auto"/>
        <w:left w:val="none" w:sz="0" w:space="0" w:color="auto"/>
        <w:bottom w:val="none" w:sz="0" w:space="0" w:color="auto"/>
        <w:right w:val="none" w:sz="0" w:space="0" w:color="auto"/>
      </w:divBdr>
    </w:div>
    <w:div w:id="970133807">
      <w:bodyDiv w:val="1"/>
      <w:marLeft w:val="0"/>
      <w:marRight w:val="0"/>
      <w:marTop w:val="0"/>
      <w:marBottom w:val="0"/>
      <w:divBdr>
        <w:top w:val="none" w:sz="0" w:space="0" w:color="auto"/>
        <w:left w:val="none" w:sz="0" w:space="0" w:color="auto"/>
        <w:bottom w:val="none" w:sz="0" w:space="0" w:color="auto"/>
        <w:right w:val="none" w:sz="0" w:space="0" w:color="auto"/>
      </w:divBdr>
      <w:divsChild>
        <w:div w:id="1945503049">
          <w:marLeft w:val="446"/>
          <w:marRight w:val="0"/>
          <w:marTop w:val="0"/>
          <w:marBottom w:val="0"/>
          <w:divBdr>
            <w:top w:val="none" w:sz="0" w:space="0" w:color="auto"/>
            <w:left w:val="none" w:sz="0" w:space="0" w:color="auto"/>
            <w:bottom w:val="none" w:sz="0" w:space="0" w:color="auto"/>
            <w:right w:val="none" w:sz="0" w:space="0" w:color="auto"/>
          </w:divBdr>
        </w:div>
      </w:divsChild>
    </w:div>
    <w:div w:id="1063063937">
      <w:bodyDiv w:val="1"/>
      <w:marLeft w:val="0"/>
      <w:marRight w:val="0"/>
      <w:marTop w:val="0"/>
      <w:marBottom w:val="0"/>
      <w:divBdr>
        <w:top w:val="none" w:sz="0" w:space="0" w:color="auto"/>
        <w:left w:val="none" w:sz="0" w:space="0" w:color="auto"/>
        <w:bottom w:val="none" w:sz="0" w:space="0" w:color="auto"/>
        <w:right w:val="none" w:sz="0" w:space="0" w:color="auto"/>
      </w:divBdr>
    </w:div>
    <w:div w:id="1185944870">
      <w:bodyDiv w:val="1"/>
      <w:marLeft w:val="0"/>
      <w:marRight w:val="0"/>
      <w:marTop w:val="0"/>
      <w:marBottom w:val="0"/>
      <w:divBdr>
        <w:top w:val="none" w:sz="0" w:space="0" w:color="auto"/>
        <w:left w:val="none" w:sz="0" w:space="0" w:color="auto"/>
        <w:bottom w:val="none" w:sz="0" w:space="0" w:color="auto"/>
        <w:right w:val="none" w:sz="0" w:space="0" w:color="auto"/>
      </w:divBdr>
      <w:divsChild>
        <w:div w:id="881136699">
          <w:marLeft w:val="432"/>
          <w:marRight w:val="0"/>
          <w:marTop w:val="240"/>
          <w:marBottom w:val="0"/>
          <w:divBdr>
            <w:top w:val="none" w:sz="0" w:space="0" w:color="auto"/>
            <w:left w:val="none" w:sz="0" w:space="0" w:color="auto"/>
            <w:bottom w:val="none" w:sz="0" w:space="0" w:color="auto"/>
            <w:right w:val="none" w:sz="0" w:space="0" w:color="auto"/>
          </w:divBdr>
        </w:div>
        <w:div w:id="586499179">
          <w:marLeft w:val="1267"/>
          <w:marRight w:val="0"/>
          <w:marTop w:val="180"/>
          <w:marBottom w:val="0"/>
          <w:divBdr>
            <w:top w:val="none" w:sz="0" w:space="0" w:color="auto"/>
            <w:left w:val="none" w:sz="0" w:space="0" w:color="auto"/>
            <w:bottom w:val="none" w:sz="0" w:space="0" w:color="auto"/>
            <w:right w:val="none" w:sz="0" w:space="0" w:color="auto"/>
          </w:divBdr>
        </w:div>
        <w:div w:id="1700738587">
          <w:marLeft w:val="1267"/>
          <w:marRight w:val="0"/>
          <w:marTop w:val="180"/>
          <w:marBottom w:val="0"/>
          <w:divBdr>
            <w:top w:val="none" w:sz="0" w:space="0" w:color="auto"/>
            <w:left w:val="none" w:sz="0" w:space="0" w:color="auto"/>
            <w:bottom w:val="none" w:sz="0" w:space="0" w:color="auto"/>
            <w:right w:val="none" w:sz="0" w:space="0" w:color="auto"/>
          </w:divBdr>
        </w:div>
      </w:divsChild>
    </w:div>
    <w:div w:id="1327319358">
      <w:bodyDiv w:val="1"/>
      <w:marLeft w:val="0"/>
      <w:marRight w:val="0"/>
      <w:marTop w:val="0"/>
      <w:marBottom w:val="0"/>
      <w:divBdr>
        <w:top w:val="none" w:sz="0" w:space="0" w:color="auto"/>
        <w:left w:val="none" w:sz="0" w:space="0" w:color="auto"/>
        <w:bottom w:val="none" w:sz="0" w:space="0" w:color="auto"/>
        <w:right w:val="none" w:sz="0" w:space="0" w:color="auto"/>
      </w:divBdr>
    </w:div>
    <w:div w:id="1340161693">
      <w:bodyDiv w:val="1"/>
      <w:marLeft w:val="0"/>
      <w:marRight w:val="0"/>
      <w:marTop w:val="0"/>
      <w:marBottom w:val="0"/>
      <w:divBdr>
        <w:top w:val="none" w:sz="0" w:space="0" w:color="auto"/>
        <w:left w:val="none" w:sz="0" w:space="0" w:color="auto"/>
        <w:bottom w:val="none" w:sz="0" w:space="0" w:color="auto"/>
        <w:right w:val="none" w:sz="0" w:space="0" w:color="auto"/>
      </w:divBdr>
      <w:divsChild>
        <w:div w:id="1202403107">
          <w:marLeft w:val="432"/>
          <w:marRight w:val="0"/>
          <w:marTop w:val="240"/>
          <w:marBottom w:val="0"/>
          <w:divBdr>
            <w:top w:val="none" w:sz="0" w:space="0" w:color="auto"/>
            <w:left w:val="none" w:sz="0" w:space="0" w:color="auto"/>
            <w:bottom w:val="none" w:sz="0" w:space="0" w:color="auto"/>
            <w:right w:val="none" w:sz="0" w:space="0" w:color="auto"/>
          </w:divBdr>
        </w:div>
      </w:divsChild>
    </w:div>
    <w:div w:id="1721125710">
      <w:bodyDiv w:val="1"/>
      <w:marLeft w:val="0"/>
      <w:marRight w:val="0"/>
      <w:marTop w:val="0"/>
      <w:marBottom w:val="0"/>
      <w:divBdr>
        <w:top w:val="none" w:sz="0" w:space="0" w:color="auto"/>
        <w:left w:val="none" w:sz="0" w:space="0" w:color="auto"/>
        <w:bottom w:val="none" w:sz="0" w:space="0" w:color="auto"/>
        <w:right w:val="none" w:sz="0" w:space="0" w:color="auto"/>
      </w:divBdr>
      <w:divsChild>
        <w:div w:id="147090108">
          <w:marLeft w:val="432"/>
          <w:marRight w:val="0"/>
          <w:marTop w:val="240"/>
          <w:marBottom w:val="0"/>
          <w:divBdr>
            <w:top w:val="none" w:sz="0" w:space="0" w:color="auto"/>
            <w:left w:val="none" w:sz="0" w:space="0" w:color="auto"/>
            <w:bottom w:val="none" w:sz="0" w:space="0" w:color="auto"/>
            <w:right w:val="none" w:sz="0" w:space="0" w:color="auto"/>
          </w:divBdr>
        </w:div>
      </w:divsChild>
    </w:div>
    <w:div w:id="1905068151">
      <w:bodyDiv w:val="1"/>
      <w:marLeft w:val="0"/>
      <w:marRight w:val="0"/>
      <w:marTop w:val="0"/>
      <w:marBottom w:val="0"/>
      <w:divBdr>
        <w:top w:val="none" w:sz="0" w:space="0" w:color="auto"/>
        <w:left w:val="none" w:sz="0" w:space="0" w:color="auto"/>
        <w:bottom w:val="none" w:sz="0" w:space="0" w:color="auto"/>
        <w:right w:val="none" w:sz="0" w:space="0" w:color="auto"/>
      </w:divBdr>
      <w:divsChild>
        <w:div w:id="62988543">
          <w:marLeft w:val="1267"/>
          <w:marRight w:val="0"/>
          <w:marTop w:val="180"/>
          <w:marBottom w:val="0"/>
          <w:divBdr>
            <w:top w:val="none" w:sz="0" w:space="0" w:color="auto"/>
            <w:left w:val="none" w:sz="0" w:space="0" w:color="auto"/>
            <w:bottom w:val="none" w:sz="0" w:space="0" w:color="auto"/>
            <w:right w:val="none" w:sz="0" w:space="0" w:color="auto"/>
          </w:divBdr>
        </w:div>
      </w:divsChild>
    </w:div>
    <w:div w:id="1970162657">
      <w:bodyDiv w:val="1"/>
      <w:marLeft w:val="0"/>
      <w:marRight w:val="0"/>
      <w:marTop w:val="0"/>
      <w:marBottom w:val="0"/>
      <w:divBdr>
        <w:top w:val="none" w:sz="0" w:space="0" w:color="auto"/>
        <w:left w:val="none" w:sz="0" w:space="0" w:color="auto"/>
        <w:bottom w:val="none" w:sz="0" w:space="0" w:color="auto"/>
        <w:right w:val="none" w:sz="0" w:space="0" w:color="auto"/>
      </w:divBdr>
    </w:div>
    <w:div w:id="1991669009">
      <w:bodyDiv w:val="1"/>
      <w:marLeft w:val="0"/>
      <w:marRight w:val="0"/>
      <w:marTop w:val="0"/>
      <w:marBottom w:val="0"/>
      <w:divBdr>
        <w:top w:val="none" w:sz="0" w:space="0" w:color="auto"/>
        <w:left w:val="none" w:sz="0" w:space="0" w:color="auto"/>
        <w:bottom w:val="none" w:sz="0" w:space="0" w:color="auto"/>
        <w:right w:val="none" w:sz="0" w:space="0" w:color="auto"/>
      </w:divBdr>
    </w:div>
    <w:div w:id="1999068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0F949-AA1B-4928-BB7F-E0775D6CF800}">
  <ds:schemaRefs>
    <ds:schemaRef ds:uri="http://schemas.microsoft.com/sharepoint/v3/contenttype/forms"/>
  </ds:schemaRefs>
</ds:datastoreItem>
</file>

<file path=customXml/itemProps2.xml><?xml version="1.0" encoding="utf-8"?>
<ds:datastoreItem xmlns:ds="http://schemas.openxmlformats.org/officeDocument/2006/customXml" ds:itemID="{13D44F87-197D-4BC2-873E-6709F947501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FDB9CCAA-F60F-4951-B636-B1FF92548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51E1D9-8238-423C-B63A-6D559A1F8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1349</Words>
  <Characters>7691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Chienhwa Hwang (黃建華)</dc:creator>
  <cp:keywords/>
  <dc:description/>
  <cp:lastModifiedBy>MediaTek Inc.</cp:lastModifiedBy>
  <cp:revision>5</cp:revision>
  <cp:lastPrinted>2018-11-02T10:25:00Z</cp:lastPrinted>
  <dcterms:created xsi:type="dcterms:W3CDTF">2019-05-03T19:55:00Z</dcterms:created>
  <dcterms:modified xsi:type="dcterms:W3CDTF">2019-05-04T01:27:00Z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Document_x0020_Type">
    <vt:lpwstr/>
  </property>
  <property fmtid="{D5CDD505-2E9C-101B-9397-08002B2CF9AE}" pid="4" name="Technical_x0020_Type">
    <vt:lpwstr/>
  </property>
  <property fmtid="{D5CDD505-2E9C-101B-9397-08002B2CF9AE}" pid="5" name="Technical Type">
    <vt:lpwstr/>
  </property>
  <property fmtid="{D5CDD505-2E9C-101B-9397-08002B2CF9AE}" pid="6" name="Document Type">
    <vt:lpwstr/>
  </property>
</Properties>
</file>